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A85" w:rsidRDefault="00325A85" w:rsidP="00325A85">
      <w:pPr>
        <w:jc w:val="center"/>
        <w:rPr>
          <w:b/>
        </w:rPr>
      </w:pPr>
      <w:r>
        <w:rPr>
          <w:noProof/>
          <w:lang w:eastAsia="en-GB"/>
        </w:rPr>
        <w:drawing>
          <wp:anchor distT="0" distB="0" distL="114300" distR="114300" simplePos="0" relativeHeight="251666432" behindDoc="1" locked="0" layoutInCell="1" allowOverlap="1" wp14:anchorId="6549719B" wp14:editId="4D9824F8">
            <wp:simplePos x="0" y="0"/>
            <wp:positionH relativeFrom="column">
              <wp:posOffset>1635760</wp:posOffset>
            </wp:positionH>
            <wp:positionV relativeFrom="paragraph">
              <wp:posOffset>58420</wp:posOffset>
            </wp:positionV>
            <wp:extent cx="3361690" cy="2985770"/>
            <wp:effectExtent l="0" t="0" r="0" b="5080"/>
            <wp:wrapTight wrapText="bothSides">
              <wp:wrapPolygon edited="0">
                <wp:start x="0" y="0"/>
                <wp:lineTo x="0" y="21499"/>
                <wp:lineTo x="21420" y="21499"/>
                <wp:lineTo x="21420" y="0"/>
                <wp:lineTo x="0" y="0"/>
              </wp:wrapPolygon>
            </wp:wrapTight>
            <wp:docPr id="17" name="webImgShrinked" descr="Hinckley and Bosworth Borough Council logo" title="HBBC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1690" cy="2985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5A85" w:rsidRDefault="00325A85" w:rsidP="00325A85">
      <w:pPr>
        <w:jc w:val="center"/>
        <w:rPr>
          <w:b/>
        </w:rPr>
      </w:pPr>
    </w:p>
    <w:p w:rsidR="00325A85" w:rsidRDefault="00325A85" w:rsidP="00325A85">
      <w:pPr>
        <w:jc w:val="center"/>
        <w:rPr>
          <w:b/>
        </w:rPr>
      </w:pPr>
    </w:p>
    <w:p w:rsidR="00325A85" w:rsidRDefault="00325A85" w:rsidP="00325A85">
      <w:pPr>
        <w:jc w:val="center"/>
        <w:rPr>
          <w:b/>
        </w:rPr>
      </w:pPr>
    </w:p>
    <w:p w:rsidR="00325A85" w:rsidRDefault="00325A85" w:rsidP="00325A85">
      <w:pPr>
        <w:jc w:val="center"/>
        <w:rPr>
          <w:b/>
        </w:rPr>
      </w:pPr>
    </w:p>
    <w:p w:rsidR="00325A85" w:rsidRDefault="00325A85" w:rsidP="00325A85">
      <w:pPr>
        <w:jc w:val="center"/>
        <w:rPr>
          <w:b/>
        </w:rPr>
      </w:pPr>
    </w:p>
    <w:p w:rsidR="00325A85" w:rsidRDefault="00325A85" w:rsidP="00325A85">
      <w:pPr>
        <w:jc w:val="center"/>
        <w:rPr>
          <w:b/>
        </w:rPr>
        <w:sectPr w:rsidR="00325A85" w:rsidSect="00D13864">
          <w:footerReference w:type="even" r:id="rId10"/>
          <w:footerReference w:type="default" r:id="rId11"/>
          <w:pgSz w:w="11906" w:h="16838"/>
          <w:pgMar w:top="1440" w:right="1797" w:bottom="1440" w:left="709" w:header="709" w:footer="709" w:gutter="0"/>
          <w:cols w:space="708"/>
          <w:titlePg/>
          <w:docGrid w:linePitch="360"/>
        </w:sectPr>
      </w:pPr>
    </w:p>
    <w:p w:rsidR="00325A85" w:rsidRDefault="00325A85" w:rsidP="00325A85">
      <w:pPr>
        <w:jc w:val="center"/>
        <w:rPr>
          <w:b/>
        </w:rPr>
      </w:pPr>
    </w:p>
    <w:p w:rsidR="00325A85" w:rsidRPr="00F10A90" w:rsidRDefault="00325A85" w:rsidP="00325A85">
      <w:pPr>
        <w:ind w:left="720" w:firstLine="720"/>
        <w:rPr>
          <w:b/>
        </w:rPr>
      </w:pPr>
    </w:p>
    <w:p w:rsidR="00325A85" w:rsidRPr="00F10A90" w:rsidRDefault="00325A85" w:rsidP="00325A85">
      <w:pPr>
        <w:jc w:val="center"/>
        <w:rPr>
          <w:b/>
        </w:rPr>
      </w:pPr>
    </w:p>
    <w:p w:rsidR="00325A85" w:rsidRDefault="00325A85" w:rsidP="00325A85">
      <w:pPr>
        <w:jc w:val="center"/>
        <w:rPr>
          <w:b/>
          <w:sz w:val="32"/>
          <w:szCs w:val="32"/>
        </w:rPr>
      </w:pPr>
    </w:p>
    <w:p w:rsidR="00325A85" w:rsidRDefault="00325A85" w:rsidP="00325A85">
      <w:pPr>
        <w:jc w:val="center"/>
        <w:rPr>
          <w:b/>
          <w:sz w:val="32"/>
          <w:szCs w:val="32"/>
        </w:rPr>
      </w:pPr>
    </w:p>
    <w:p w:rsidR="00325A85" w:rsidRDefault="00325A85" w:rsidP="00325A85">
      <w:pPr>
        <w:jc w:val="center"/>
        <w:rPr>
          <w:b/>
          <w:sz w:val="32"/>
          <w:szCs w:val="32"/>
        </w:rPr>
      </w:pPr>
    </w:p>
    <w:p w:rsidR="00325A85" w:rsidRDefault="00325A85" w:rsidP="00325A85">
      <w:pPr>
        <w:jc w:val="center"/>
        <w:rPr>
          <w:b/>
          <w:sz w:val="32"/>
          <w:szCs w:val="32"/>
        </w:rPr>
      </w:pPr>
    </w:p>
    <w:p w:rsidR="00325A85" w:rsidRDefault="00325A85" w:rsidP="00325A85">
      <w:pPr>
        <w:jc w:val="center"/>
        <w:rPr>
          <w:b/>
          <w:sz w:val="32"/>
          <w:szCs w:val="32"/>
        </w:rPr>
      </w:pPr>
    </w:p>
    <w:p w:rsidR="00325A85" w:rsidRDefault="00325A85" w:rsidP="00325A85">
      <w:pPr>
        <w:jc w:val="center"/>
        <w:rPr>
          <w:b/>
          <w:sz w:val="32"/>
          <w:szCs w:val="32"/>
        </w:rPr>
      </w:pPr>
    </w:p>
    <w:p w:rsidR="00325A85" w:rsidRDefault="00325A85" w:rsidP="00325A85">
      <w:pPr>
        <w:jc w:val="center"/>
        <w:rPr>
          <w:b/>
          <w:sz w:val="32"/>
          <w:szCs w:val="32"/>
        </w:rPr>
      </w:pPr>
    </w:p>
    <w:p w:rsidR="00325A85" w:rsidRDefault="00325A85" w:rsidP="00325A85">
      <w:pPr>
        <w:jc w:val="center"/>
        <w:rPr>
          <w:b/>
          <w:sz w:val="36"/>
          <w:szCs w:val="36"/>
        </w:rPr>
      </w:pPr>
    </w:p>
    <w:p w:rsidR="00325A85" w:rsidRDefault="00325A85" w:rsidP="00325A85">
      <w:pPr>
        <w:pStyle w:val="Heading1"/>
        <w:jc w:val="center"/>
      </w:pPr>
      <w:bookmarkStart w:id="0" w:name="_Toc95119902"/>
      <w:r w:rsidRPr="007D6D8F">
        <w:t>Anti-Social Behaviour Policy</w:t>
      </w:r>
      <w:r w:rsidR="00D13864">
        <w:t xml:space="preserve"> - </w:t>
      </w:r>
      <w:r>
        <w:t>February 2022</w:t>
      </w:r>
      <w:bookmarkEnd w:id="0"/>
    </w:p>
    <w:p w:rsidR="00325A85" w:rsidRDefault="00325A85" w:rsidP="00325A85">
      <w:pPr>
        <w:jc w:val="center"/>
        <w:rPr>
          <w:b/>
        </w:rPr>
      </w:pPr>
    </w:p>
    <w:p w:rsidR="00325A85" w:rsidRDefault="00325A85" w:rsidP="00325A85">
      <w:pPr>
        <w:jc w:val="center"/>
        <w:rPr>
          <w:b/>
        </w:rPr>
      </w:pPr>
    </w:p>
    <w:p w:rsidR="00325A85" w:rsidRDefault="00325A85" w:rsidP="00325A85">
      <w:pPr>
        <w:jc w:val="center"/>
        <w:rPr>
          <w:b/>
        </w:rPr>
      </w:pPr>
    </w:p>
    <w:p w:rsidR="00325A85" w:rsidRPr="00C6164A" w:rsidRDefault="00325A85" w:rsidP="00325A85">
      <w:pPr>
        <w:jc w:val="center"/>
        <w:rPr>
          <w:b/>
        </w:rPr>
      </w:pPr>
    </w:p>
    <w:p w:rsidR="00325A85" w:rsidRDefault="00325A85" w:rsidP="00325A85">
      <w:pPr>
        <w:jc w:val="center"/>
      </w:pPr>
    </w:p>
    <w:p w:rsidR="00325A85" w:rsidRDefault="00325A85" w:rsidP="00325A85">
      <w:pPr>
        <w:jc w:val="center"/>
      </w:pPr>
    </w:p>
    <w:p w:rsidR="00325A85" w:rsidRPr="00325A85" w:rsidRDefault="00325A85" w:rsidP="00325A85">
      <w:pPr>
        <w:pStyle w:val="Heading2"/>
      </w:pPr>
    </w:p>
    <w:p w:rsidR="00325A85" w:rsidRDefault="00325A85" w:rsidP="00325A85">
      <w:pPr>
        <w:tabs>
          <w:tab w:val="left" w:pos="474"/>
        </w:tabs>
        <w:jc w:val="center"/>
        <w:rPr>
          <w:rFonts w:cs="Arial"/>
          <w:b/>
        </w:rPr>
      </w:pPr>
    </w:p>
    <w:p w:rsidR="00325A85" w:rsidRDefault="00325A85" w:rsidP="00325A85">
      <w:pPr>
        <w:tabs>
          <w:tab w:val="left" w:pos="474"/>
        </w:tabs>
        <w:jc w:val="center"/>
        <w:rPr>
          <w:rFonts w:cs="Arial"/>
          <w:b/>
        </w:rPr>
      </w:pPr>
      <w:r>
        <w:rPr>
          <w:noProof/>
          <w:lang w:eastAsia="en-GB"/>
        </w:rPr>
        <w:drawing>
          <wp:anchor distT="0" distB="0" distL="114300" distR="114300" simplePos="0" relativeHeight="251659264" behindDoc="1" locked="0" layoutInCell="1" allowOverlap="1" wp14:anchorId="60CF19E1" wp14:editId="0420BA23">
            <wp:simplePos x="0" y="0"/>
            <wp:positionH relativeFrom="column">
              <wp:posOffset>1990725</wp:posOffset>
            </wp:positionH>
            <wp:positionV relativeFrom="paragraph">
              <wp:posOffset>138430</wp:posOffset>
            </wp:positionV>
            <wp:extent cx="1143000" cy="1257300"/>
            <wp:effectExtent l="0" t="0" r="0" b="0"/>
            <wp:wrapSquare wrapText="bothSides"/>
            <wp:docPr id="7" name="Picture 2" descr="Endeavour - working together to protect our community logo" title="Endeav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1257300"/>
                    </a:xfrm>
                    <a:prstGeom prst="rect">
                      <a:avLst/>
                    </a:prstGeom>
                    <a:noFill/>
                  </pic:spPr>
                </pic:pic>
              </a:graphicData>
            </a:graphic>
            <wp14:sizeRelH relativeFrom="page">
              <wp14:pctWidth>0</wp14:pctWidth>
            </wp14:sizeRelH>
            <wp14:sizeRelV relativeFrom="page">
              <wp14:pctHeight>0</wp14:pctHeight>
            </wp14:sizeRelV>
          </wp:anchor>
        </w:drawing>
      </w:r>
    </w:p>
    <w:p w:rsidR="00325A85" w:rsidRDefault="00325A85" w:rsidP="00325A85">
      <w:pPr>
        <w:tabs>
          <w:tab w:val="left" w:pos="474"/>
        </w:tabs>
        <w:jc w:val="center"/>
        <w:rPr>
          <w:rFonts w:cs="Arial"/>
          <w:b/>
        </w:rPr>
      </w:pPr>
    </w:p>
    <w:p w:rsidR="00325A85" w:rsidRDefault="00325A85" w:rsidP="00325A85">
      <w:pPr>
        <w:tabs>
          <w:tab w:val="left" w:pos="474"/>
        </w:tabs>
        <w:jc w:val="center"/>
        <w:rPr>
          <w:rFonts w:cs="Arial"/>
          <w:b/>
        </w:rPr>
      </w:pPr>
    </w:p>
    <w:p w:rsidR="00325A85" w:rsidRDefault="00325A85" w:rsidP="00325A85">
      <w:pPr>
        <w:tabs>
          <w:tab w:val="left" w:pos="474"/>
        </w:tabs>
        <w:jc w:val="center"/>
        <w:rPr>
          <w:rFonts w:cs="Arial"/>
          <w:b/>
        </w:rPr>
      </w:pPr>
    </w:p>
    <w:p w:rsidR="00325A85" w:rsidRDefault="00325A85" w:rsidP="00325A85">
      <w:pPr>
        <w:tabs>
          <w:tab w:val="left" w:pos="474"/>
        </w:tabs>
        <w:jc w:val="center"/>
        <w:rPr>
          <w:rFonts w:cs="Arial"/>
          <w:b/>
        </w:rPr>
      </w:pPr>
    </w:p>
    <w:p w:rsidR="00325A85" w:rsidRDefault="00325A85" w:rsidP="00325A85">
      <w:pPr>
        <w:tabs>
          <w:tab w:val="left" w:pos="474"/>
        </w:tabs>
        <w:jc w:val="center"/>
        <w:rPr>
          <w:rFonts w:cs="Arial"/>
          <w:b/>
        </w:rPr>
      </w:pPr>
    </w:p>
    <w:p w:rsidR="00325A85" w:rsidRDefault="00325A85" w:rsidP="00325A85">
      <w:pPr>
        <w:tabs>
          <w:tab w:val="left" w:pos="474"/>
        </w:tabs>
        <w:jc w:val="center"/>
        <w:rPr>
          <w:rFonts w:cs="Arial"/>
          <w:b/>
        </w:rPr>
      </w:pPr>
    </w:p>
    <w:p w:rsidR="00325A85" w:rsidRDefault="00325A85" w:rsidP="00325A85">
      <w:pPr>
        <w:tabs>
          <w:tab w:val="left" w:pos="474"/>
        </w:tabs>
        <w:jc w:val="center"/>
        <w:rPr>
          <w:rFonts w:cs="Arial"/>
          <w:b/>
        </w:rPr>
      </w:pPr>
    </w:p>
    <w:p w:rsidR="00325A85" w:rsidRDefault="00325A85" w:rsidP="00325A85">
      <w:pPr>
        <w:tabs>
          <w:tab w:val="left" w:pos="474"/>
        </w:tabs>
        <w:jc w:val="center"/>
        <w:rPr>
          <w:rFonts w:cs="Arial"/>
          <w:b/>
        </w:rPr>
      </w:pPr>
    </w:p>
    <w:p w:rsidR="00325A85" w:rsidRDefault="00325A85" w:rsidP="00325A85">
      <w:pPr>
        <w:tabs>
          <w:tab w:val="left" w:pos="474"/>
        </w:tabs>
        <w:jc w:val="center"/>
        <w:rPr>
          <w:rFonts w:cs="Arial"/>
          <w:b/>
        </w:rPr>
      </w:pPr>
    </w:p>
    <w:p w:rsidR="00325A85" w:rsidRDefault="00325A85" w:rsidP="00325A85">
      <w:pPr>
        <w:tabs>
          <w:tab w:val="left" w:pos="474"/>
        </w:tabs>
        <w:jc w:val="center"/>
        <w:rPr>
          <w:rFonts w:cs="Arial"/>
          <w:b/>
        </w:rPr>
      </w:pPr>
    </w:p>
    <w:p w:rsidR="00325A85" w:rsidRDefault="00325A85" w:rsidP="00325A85"/>
    <w:p w:rsidR="00325A85" w:rsidRPr="00C6164A" w:rsidRDefault="00325A85" w:rsidP="00325A85">
      <w:r>
        <w:t>Review date: This policy will be reviewed in February 2024 or at an earlier date should the need arise due to changes in legislation</w:t>
      </w:r>
    </w:p>
    <w:p w:rsidR="00325A85" w:rsidRPr="00C6164A" w:rsidRDefault="00325A85" w:rsidP="00325A85">
      <w:pPr>
        <w:tabs>
          <w:tab w:val="left" w:pos="474"/>
        </w:tabs>
        <w:jc w:val="center"/>
        <w:rPr>
          <w:rFonts w:cs="Arial"/>
          <w:b/>
        </w:rPr>
      </w:pPr>
    </w:p>
    <w:p w:rsidR="00325A85" w:rsidRDefault="00325A85" w:rsidP="00325A85">
      <w:pPr>
        <w:tabs>
          <w:tab w:val="left" w:pos="474"/>
        </w:tabs>
        <w:rPr>
          <w:rFonts w:cs="Arial"/>
          <w:b/>
        </w:rPr>
      </w:pPr>
    </w:p>
    <w:p w:rsidR="00325A85" w:rsidRDefault="00325A85" w:rsidP="00325A85">
      <w:pPr>
        <w:tabs>
          <w:tab w:val="left" w:pos="474"/>
        </w:tabs>
        <w:rPr>
          <w:rFonts w:cs="Arial"/>
          <w:b/>
        </w:rPr>
      </w:pPr>
    </w:p>
    <w:p w:rsidR="00E54699" w:rsidRDefault="00E54699" w:rsidP="00325A85">
      <w:pPr>
        <w:tabs>
          <w:tab w:val="left" w:pos="5940"/>
        </w:tabs>
        <w:rPr>
          <w:rFonts w:cs="Arial"/>
          <w:b/>
        </w:rPr>
      </w:pPr>
    </w:p>
    <w:sdt>
      <w:sdtPr>
        <w:rPr>
          <w:rFonts w:ascii="Arial" w:eastAsia="Times New Roman" w:hAnsi="Arial" w:cs="Times New Roman"/>
          <w:color w:val="auto"/>
          <w:sz w:val="24"/>
          <w:szCs w:val="24"/>
          <w:lang w:val="en-GB"/>
        </w:rPr>
        <w:id w:val="1265269482"/>
        <w:docPartObj>
          <w:docPartGallery w:val="Table of Contents"/>
          <w:docPartUnique/>
        </w:docPartObj>
      </w:sdtPr>
      <w:sdtEndPr>
        <w:rPr>
          <w:b/>
          <w:bCs/>
          <w:noProof/>
        </w:rPr>
      </w:sdtEndPr>
      <w:sdtContent>
        <w:p w:rsidR="001B4392" w:rsidRDefault="001B4392">
          <w:pPr>
            <w:pStyle w:val="TOCHeading"/>
          </w:pPr>
          <w:r>
            <w:t>Contents</w:t>
          </w:r>
        </w:p>
        <w:p w:rsidR="00BE2EA1" w:rsidRDefault="001B4392">
          <w:pPr>
            <w:pStyle w:val="TOC1"/>
            <w:tabs>
              <w:tab w:val="right" w:leader="dot" w:pos="8302"/>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95119902" w:history="1">
            <w:r w:rsidR="00BE2EA1" w:rsidRPr="00040F91">
              <w:rPr>
                <w:rStyle w:val="Hyperlink"/>
                <w:noProof/>
              </w:rPr>
              <w:t>Anti-Social Behaviour Policy - February 2022</w:t>
            </w:r>
            <w:r w:rsidR="00BE2EA1">
              <w:rPr>
                <w:noProof/>
                <w:webHidden/>
              </w:rPr>
              <w:tab/>
            </w:r>
            <w:r w:rsidR="00BE2EA1">
              <w:rPr>
                <w:noProof/>
                <w:webHidden/>
              </w:rPr>
              <w:fldChar w:fldCharType="begin"/>
            </w:r>
            <w:r w:rsidR="00BE2EA1">
              <w:rPr>
                <w:noProof/>
                <w:webHidden/>
              </w:rPr>
              <w:instrText xml:space="preserve"> PAGEREF _Toc95119902 \h </w:instrText>
            </w:r>
            <w:r w:rsidR="00BE2EA1">
              <w:rPr>
                <w:noProof/>
                <w:webHidden/>
              </w:rPr>
            </w:r>
            <w:r w:rsidR="00BE2EA1">
              <w:rPr>
                <w:noProof/>
                <w:webHidden/>
              </w:rPr>
              <w:fldChar w:fldCharType="separate"/>
            </w:r>
            <w:r w:rsidR="00BE2EA1">
              <w:rPr>
                <w:noProof/>
                <w:webHidden/>
              </w:rPr>
              <w:t>1</w:t>
            </w:r>
            <w:r w:rsidR="00BE2EA1">
              <w:rPr>
                <w:noProof/>
                <w:webHidden/>
              </w:rPr>
              <w:fldChar w:fldCharType="end"/>
            </w:r>
          </w:hyperlink>
        </w:p>
        <w:p w:rsidR="00BE2EA1" w:rsidRDefault="00BE2EA1">
          <w:pPr>
            <w:pStyle w:val="TOC2"/>
            <w:tabs>
              <w:tab w:val="right" w:leader="dot" w:pos="8302"/>
            </w:tabs>
            <w:rPr>
              <w:rFonts w:asciiTheme="minorHAnsi" w:eastAsiaTheme="minorEastAsia" w:hAnsiTheme="minorHAnsi" w:cstheme="minorBidi"/>
              <w:noProof/>
              <w:sz w:val="22"/>
              <w:szCs w:val="22"/>
              <w:lang w:eastAsia="en-GB"/>
            </w:rPr>
          </w:pPr>
          <w:hyperlink w:anchor="_Toc95119903" w:history="1">
            <w:r w:rsidRPr="00040F91">
              <w:rPr>
                <w:rStyle w:val="Hyperlink"/>
                <w:noProof/>
              </w:rPr>
              <w:t>1. Tackling Anti-Social Behaviour- Our Policy</w:t>
            </w:r>
            <w:r>
              <w:rPr>
                <w:noProof/>
                <w:webHidden/>
              </w:rPr>
              <w:tab/>
            </w:r>
            <w:r>
              <w:rPr>
                <w:noProof/>
                <w:webHidden/>
              </w:rPr>
              <w:fldChar w:fldCharType="begin"/>
            </w:r>
            <w:r>
              <w:rPr>
                <w:noProof/>
                <w:webHidden/>
              </w:rPr>
              <w:instrText xml:space="preserve"> PAGEREF _Toc95119903 \h </w:instrText>
            </w:r>
            <w:r>
              <w:rPr>
                <w:noProof/>
                <w:webHidden/>
              </w:rPr>
            </w:r>
            <w:r>
              <w:rPr>
                <w:noProof/>
                <w:webHidden/>
              </w:rPr>
              <w:fldChar w:fldCharType="separate"/>
            </w:r>
            <w:r>
              <w:rPr>
                <w:noProof/>
                <w:webHidden/>
              </w:rPr>
              <w:t>3</w:t>
            </w:r>
            <w:r>
              <w:rPr>
                <w:noProof/>
                <w:webHidden/>
              </w:rPr>
              <w:fldChar w:fldCharType="end"/>
            </w:r>
          </w:hyperlink>
        </w:p>
        <w:p w:rsidR="00BE2EA1" w:rsidRDefault="00BE2EA1">
          <w:pPr>
            <w:pStyle w:val="TOC2"/>
            <w:tabs>
              <w:tab w:val="right" w:leader="dot" w:pos="8302"/>
            </w:tabs>
            <w:rPr>
              <w:rFonts w:asciiTheme="minorHAnsi" w:eastAsiaTheme="minorEastAsia" w:hAnsiTheme="minorHAnsi" w:cstheme="minorBidi"/>
              <w:noProof/>
              <w:sz w:val="22"/>
              <w:szCs w:val="22"/>
              <w:lang w:eastAsia="en-GB"/>
            </w:rPr>
          </w:pPr>
          <w:hyperlink w:anchor="_Toc95119904" w:history="1">
            <w:r w:rsidRPr="00040F91">
              <w:rPr>
                <w:rStyle w:val="Hyperlink"/>
                <w:noProof/>
              </w:rPr>
              <w:t>2. Our priorities</w:t>
            </w:r>
            <w:r>
              <w:rPr>
                <w:noProof/>
                <w:webHidden/>
              </w:rPr>
              <w:tab/>
            </w:r>
            <w:r>
              <w:rPr>
                <w:noProof/>
                <w:webHidden/>
              </w:rPr>
              <w:fldChar w:fldCharType="begin"/>
            </w:r>
            <w:r>
              <w:rPr>
                <w:noProof/>
                <w:webHidden/>
              </w:rPr>
              <w:instrText xml:space="preserve"> PAGEREF _Toc95119904 \h </w:instrText>
            </w:r>
            <w:r>
              <w:rPr>
                <w:noProof/>
                <w:webHidden/>
              </w:rPr>
            </w:r>
            <w:r>
              <w:rPr>
                <w:noProof/>
                <w:webHidden/>
              </w:rPr>
              <w:fldChar w:fldCharType="separate"/>
            </w:r>
            <w:r>
              <w:rPr>
                <w:noProof/>
                <w:webHidden/>
              </w:rPr>
              <w:t>3</w:t>
            </w:r>
            <w:r>
              <w:rPr>
                <w:noProof/>
                <w:webHidden/>
              </w:rPr>
              <w:fldChar w:fldCharType="end"/>
            </w:r>
          </w:hyperlink>
        </w:p>
        <w:p w:rsidR="00BE2EA1" w:rsidRDefault="00BE2EA1">
          <w:pPr>
            <w:pStyle w:val="TOC2"/>
            <w:tabs>
              <w:tab w:val="right" w:leader="dot" w:pos="8302"/>
            </w:tabs>
            <w:rPr>
              <w:rFonts w:asciiTheme="minorHAnsi" w:eastAsiaTheme="minorEastAsia" w:hAnsiTheme="minorHAnsi" w:cstheme="minorBidi"/>
              <w:noProof/>
              <w:sz w:val="22"/>
              <w:szCs w:val="22"/>
              <w:lang w:eastAsia="en-GB"/>
            </w:rPr>
          </w:pPr>
          <w:hyperlink w:anchor="_Toc95119905" w:history="1">
            <w:r w:rsidRPr="00040F91">
              <w:rPr>
                <w:rStyle w:val="Hyperlink"/>
                <w:noProof/>
              </w:rPr>
              <w:t>3. What is Anti-Social Behaviour?</w:t>
            </w:r>
            <w:r>
              <w:rPr>
                <w:noProof/>
                <w:webHidden/>
              </w:rPr>
              <w:tab/>
            </w:r>
            <w:r>
              <w:rPr>
                <w:noProof/>
                <w:webHidden/>
              </w:rPr>
              <w:fldChar w:fldCharType="begin"/>
            </w:r>
            <w:r>
              <w:rPr>
                <w:noProof/>
                <w:webHidden/>
              </w:rPr>
              <w:instrText xml:space="preserve"> PAGEREF _Toc95119905 \h </w:instrText>
            </w:r>
            <w:r>
              <w:rPr>
                <w:noProof/>
                <w:webHidden/>
              </w:rPr>
            </w:r>
            <w:r>
              <w:rPr>
                <w:noProof/>
                <w:webHidden/>
              </w:rPr>
              <w:fldChar w:fldCharType="separate"/>
            </w:r>
            <w:r>
              <w:rPr>
                <w:noProof/>
                <w:webHidden/>
              </w:rPr>
              <w:t>3</w:t>
            </w:r>
            <w:r>
              <w:rPr>
                <w:noProof/>
                <w:webHidden/>
              </w:rPr>
              <w:fldChar w:fldCharType="end"/>
            </w:r>
          </w:hyperlink>
        </w:p>
        <w:p w:rsidR="00BE2EA1" w:rsidRDefault="00BE2EA1">
          <w:pPr>
            <w:pStyle w:val="TOC2"/>
            <w:tabs>
              <w:tab w:val="right" w:leader="dot" w:pos="8302"/>
            </w:tabs>
            <w:rPr>
              <w:rFonts w:asciiTheme="minorHAnsi" w:eastAsiaTheme="minorEastAsia" w:hAnsiTheme="minorHAnsi" w:cstheme="minorBidi"/>
              <w:noProof/>
              <w:sz w:val="22"/>
              <w:szCs w:val="22"/>
              <w:lang w:eastAsia="en-GB"/>
            </w:rPr>
          </w:pPr>
          <w:hyperlink w:anchor="_Toc95119906" w:history="1">
            <w:r w:rsidRPr="00040F91">
              <w:rPr>
                <w:rStyle w:val="Hyperlink"/>
                <w:noProof/>
              </w:rPr>
              <w:t>4. Hate related incidents</w:t>
            </w:r>
            <w:r>
              <w:rPr>
                <w:noProof/>
                <w:webHidden/>
              </w:rPr>
              <w:tab/>
            </w:r>
            <w:r>
              <w:rPr>
                <w:noProof/>
                <w:webHidden/>
              </w:rPr>
              <w:fldChar w:fldCharType="begin"/>
            </w:r>
            <w:r>
              <w:rPr>
                <w:noProof/>
                <w:webHidden/>
              </w:rPr>
              <w:instrText xml:space="preserve"> PAGEREF _Toc95119906 \h </w:instrText>
            </w:r>
            <w:r>
              <w:rPr>
                <w:noProof/>
                <w:webHidden/>
              </w:rPr>
            </w:r>
            <w:r>
              <w:rPr>
                <w:noProof/>
                <w:webHidden/>
              </w:rPr>
              <w:fldChar w:fldCharType="separate"/>
            </w:r>
            <w:r>
              <w:rPr>
                <w:noProof/>
                <w:webHidden/>
              </w:rPr>
              <w:t>4</w:t>
            </w:r>
            <w:r>
              <w:rPr>
                <w:noProof/>
                <w:webHidden/>
              </w:rPr>
              <w:fldChar w:fldCharType="end"/>
            </w:r>
          </w:hyperlink>
        </w:p>
        <w:p w:rsidR="00BE2EA1" w:rsidRDefault="00BE2EA1">
          <w:pPr>
            <w:pStyle w:val="TOC2"/>
            <w:tabs>
              <w:tab w:val="right" w:leader="dot" w:pos="8302"/>
            </w:tabs>
            <w:rPr>
              <w:rFonts w:asciiTheme="minorHAnsi" w:eastAsiaTheme="minorEastAsia" w:hAnsiTheme="minorHAnsi" w:cstheme="minorBidi"/>
              <w:noProof/>
              <w:sz w:val="22"/>
              <w:szCs w:val="22"/>
              <w:lang w:eastAsia="en-GB"/>
            </w:rPr>
          </w:pPr>
          <w:hyperlink w:anchor="_Toc95119907" w:history="1">
            <w:r w:rsidRPr="00040F91">
              <w:rPr>
                <w:rStyle w:val="Hyperlink"/>
                <w:noProof/>
              </w:rPr>
              <w:t>5. Working in Partnership</w:t>
            </w:r>
            <w:r>
              <w:rPr>
                <w:noProof/>
                <w:webHidden/>
              </w:rPr>
              <w:tab/>
            </w:r>
            <w:r>
              <w:rPr>
                <w:noProof/>
                <w:webHidden/>
              </w:rPr>
              <w:fldChar w:fldCharType="begin"/>
            </w:r>
            <w:r>
              <w:rPr>
                <w:noProof/>
                <w:webHidden/>
              </w:rPr>
              <w:instrText xml:space="preserve"> PAGEREF _Toc95119907 \h </w:instrText>
            </w:r>
            <w:r>
              <w:rPr>
                <w:noProof/>
                <w:webHidden/>
              </w:rPr>
            </w:r>
            <w:r>
              <w:rPr>
                <w:noProof/>
                <w:webHidden/>
              </w:rPr>
              <w:fldChar w:fldCharType="separate"/>
            </w:r>
            <w:r>
              <w:rPr>
                <w:noProof/>
                <w:webHidden/>
              </w:rPr>
              <w:t>4</w:t>
            </w:r>
            <w:r>
              <w:rPr>
                <w:noProof/>
                <w:webHidden/>
              </w:rPr>
              <w:fldChar w:fldCharType="end"/>
            </w:r>
          </w:hyperlink>
        </w:p>
        <w:p w:rsidR="00BE2EA1" w:rsidRDefault="00BE2EA1">
          <w:pPr>
            <w:pStyle w:val="TOC2"/>
            <w:tabs>
              <w:tab w:val="right" w:leader="dot" w:pos="8302"/>
            </w:tabs>
            <w:rPr>
              <w:rFonts w:asciiTheme="minorHAnsi" w:eastAsiaTheme="minorEastAsia" w:hAnsiTheme="minorHAnsi" w:cstheme="minorBidi"/>
              <w:noProof/>
              <w:sz w:val="22"/>
              <w:szCs w:val="22"/>
              <w:lang w:eastAsia="en-GB"/>
            </w:rPr>
          </w:pPr>
          <w:hyperlink w:anchor="_Toc95119908" w:history="1">
            <w:r w:rsidRPr="00040F91">
              <w:rPr>
                <w:rStyle w:val="Hyperlink"/>
                <w:noProof/>
              </w:rPr>
              <w:t>6. Our Approach</w:t>
            </w:r>
            <w:r>
              <w:rPr>
                <w:noProof/>
                <w:webHidden/>
              </w:rPr>
              <w:tab/>
            </w:r>
            <w:r>
              <w:rPr>
                <w:noProof/>
                <w:webHidden/>
              </w:rPr>
              <w:fldChar w:fldCharType="begin"/>
            </w:r>
            <w:r>
              <w:rPr>
                <w:noProof/>
                <w:webHidden/>
              </w:rPr>
              <w:instrText xml:space="preserve"> PAGEREF _Toc95119908 \h </w:instrText>
            </w:r>
            <w:r>
              <w:rPr>
                <w:noProof/>
                <w:webHidden/>
              </w:rPr>
            </w:r>
            <w:r>
              <w:rPr>
                <w:noProof/>
                <w:webHidden/>
              </w:rPr>
              <w:fldChar w:fldCharType="separate"/>
            </w:r>
            <w:r>
              <w:rPr>
                <w:noProof/>
                <w:webHidden/>
              </w:rPr>
              <w:t>5</w:t>
            </w:r>
            <w:r>
              <w:rPr>
                <w:noProof/>
                <w:webHidden/>
              </w:rPr>
              <w:fldChar w:fldCharType="end"/>
            </w:r>
          </w:hyperlink>
        </w:p>
        <w:p w:rsidR="00BE2EA1" w:rsidRDefault="00BE2EA1">
          <w:pPr>
            <w:pStyle w:val="TOC3"/>
            <w:tabs>
              <w:tab w:val="right" w:leader="dot" w:pos="8302"/>
            </w:tabs>
            <w:rPr>
              <w:rFonts w:asciiTheme="minorHAnsi" w:eastAsiaTheme="minorEastAsia" w:hAnsiTheme="minorHAnsi" w:cstheme="minorBidi"/>
              <w:noProof/>
              <w:sz w:val="22"/>
              <w:szCs w:val="22"/>
              <w:lang w:eastAsia="en-GB"/>
            </w:rPr>
          </w:pPr>
          <w:hyperlink w:anchor="_Toc95119909" w:history="1">
            <w:r w:rsidRPr="00040F91">
              <w:rPr>
                <w:rStyle w:val="Hyperlink"/>
                <w:noProof/>
              </w:rPr>
              <w:t>The Incremental Approach</w:t>
            </w:r>
            <w:r>
              <w:rPr>
                <w:noProof/>
                <w:webHidden/>
              </w:rPr>
              <w:tab/>
            </w:r>
            <w:r>
              <w:rPr>
                <w:noProof/>
                <w:webHidden/>
              </w:rPr>
              <w:fldChar w:fldCharType="begin"/>
            </w:r>
            <w:r>
              <w:rPr>
                <w:noProof/>
                <w:webHidden/>
              </w:rPr>
              <w:instrText xml:space="preserve"> PAGEREF _Toc95119909 \h </w:instrText>
            </w:r>
            <w:r>
              <w:rPr>
                <w:noProof/>
                <w:webHidden/>
              </w:rPr>
            </w:r>
            <w:r>
              <w:rPr>
                <w:noProof/>
                <w:webHidden/>
              </w:rPr>
              <w:fldChar w:fldCharType="separate"/>
            </w:r>
            <w:r>
              <w:rPr>
                <w:noProof/>
                <w:webHidden/>
              </w:rPr>
              <w:t>5</w:t>
            </w:r>
            <w:r>
              <w:rPr>
                <w:noProof/>
                <w:webHidden/>
              </w:rPr>
              <w:fldChar w:fldCharType="end"/>
            </w:r>
          </w:hyperlink>
        </w:p>
        <w:p w:rsidR="00BE2EA1" w:rsidRDefault="00BE2EA1">
          <w:pPr>
            <w:pStyle w:val="TOC3"/>
            <w:tabs>
              <w:tab w:val="right" w:leader="dot" w:pos="8302"/>
            </w:tabs>
            <w:rPr>
              <w:rFonts w:asciiTheme="minorHAnsi" w:eastAsiaTheme="minorEastAsia" w:hAnsiTheme="minorHAnsi" w:cstheme="minorBidi"/>
              <w:noProof/>
              <w:sz w:val="22"/>
              <w:szCs w:val="22"/>
              <w:lang w:eastAsia="en-GB"/>
            </w:rPr>
          </w:pPr>
          <w:hyperlink w:anchor="_Toc95119910" w:history="1">
            <w:r w:rsidRPr="00040F91">
              <w:rPr>
                <w:rStyle w:val="Hyperlink"/>
                <w:noProof/>
              </w:rPr>
              <w:t>Advice – Letter/verbal</w:t>
            </w:r>
            <w:r>
              <w:rPr>
                <w:noProof/>
                <w:webHidden/>
              </w:rPr>
              <w:tab/>
            </w:r>
            <w:r>
              <w:rPr>
                <w:noProof/>
                <w:webHidden/>
              </w:rPr>
              <w:fldChar w:fldCharType="begin"/>
            </w:r>
            <w:r>
              <w:rPr>
                <w:noProof/>
                <w:webHidden/>
              </w:rPr>
              <w:instrText xml:space="preserve"> PAGEREF _Toc95119910 \h </w:instrText>
            </w:r>
            <w:r>
              <w:rPr>
                <w:noProof/>
                <w:webHidden/>
              </w:rPr>
            </w:r>
            <w:r>
              <w:rPr>
                <w:noProof/>
                <w:webHidden/>
              </w:rPr>
              <w:fldChar w:fldCharType="separate"/>
            </w:r>
            <w:r>
              <w:rPr>
                <w:noProof/>
                <w:webHidden/>
              </w:rPr>
              <w:t>5</w:t>
            </w:r>
            <w:r>
              <w:rPr>
                <w:noProof/>
                <w:webHidden/>
              </w:rPr>
              <w:fldChar w:fldCharType="end"/>
            </w:r>
          </w:hyperlink>
        </w:p>
        <w:p w:rsidR="00BE2EA1" w:rsidRDefault="00BE2EA1">
          <w:pPr>
            <w:pStyle w:val="TOC3"/>
            <w:tabs>
              <w:tab w:val="right" w:leader="dot" w:pos="8302"/>
            </w:tabs>
            <w:rPr>
              <w:rFonts w:asciiTheme="minorHAnsi" w:eastAsiaTheme="minorEastAsia" w:hAnsiTheme="minorHAnsi" w:cstheme="minorBidi"/>
              <w:noProof/>
              <w:sz w:val="22"/>
              <w:szCs w:val="22"/>
              <w:lang w:eastAsia="en-GB"/>
            </w:rPr>
          </w:pPr>
          <w:hyperlink w:anchor="_Toc95119911" w:history="1">
            <w:r w:rsidRPr="00040F91">
              <w:rPr>
                <w:rStyle w:val="Hyperlink"/>
                <w:noProof/>
              </w:rPr>
              <w:t>Warning</w:t>
            </w:r>
            <w:r>
              <w:rPr>
                <w:noProof/>
                <w:webHidden/>
              </w:rPr>
              <w:tab/>
            </w:r>
            <w:r>
              <w:rPr>
                <w:noProof/>
                <w:webHidden/>
              </w:rPr>
              <w:fldChar w:fldCharType="begin"/>
            </w:r>
            <w:r>
              <w:rPr>
                <w:noProof/>
                <w:webHidden/>
              </w:rPr>
              <w:instrText xml:space="preserve"> PAGEREF _Toc95119911 \h </w:instrText>
            </w:r>
            <w:r>
              <w:rPr>
                <w:noProof/>
                <w:webHidden/>
              </w:rPr>
            </w:r>
            <w:r>
              <w:rPr>
                <w:noProof/>
                <w:webHidden/>
              </w:rPr>
              <w:fldChar w:fldCharType="separate"/>
            </w:r>
            <w:r>
              <w:rPr>
                <w:noProof/>
                <w:webHidden/>
              </w:rPr>
              <w:t>5</w:t>
            </w:r>
            <w:r>
              <w:rPr>
                <w:noProof/>
                <w:webHidden/>
              </w:rPr>
              <w:fldChar w:fldCharType="end"/>
            </w:r>
          </w:hyperlink>
        </w:p>
        <w:p w:rsidR="00BE2EA1" w:rsidRDefault="00BE2EA1">
          <w:pPr>
            <w:pStyle w:val="TOC3"/>
            <w:tabs>
              <w:tab w:val="right" w:leader="dot" w:pos="8302"/>
            </w:tabs>
            <w:rPr>
              <w:rFonts w:asciiTheme="minorHAnsi" w:eastAsiaTheme="minorEastAsia" w:hAnsiTheme="minorHAnsi" w:cstheme="minorBidi"/>
              <w:noProof/>
              <w:sz w:val="22"/>
              <w:szCs w:val="22"/>
              <w:lang w:eastAsia="en-GB"/>
            </w:rPr>
          </w:pPr>
          <w:hyperlink w:anchor="_Toc95119912" w:history="1">
            <w:r w:rsidRPr="00040F91">
              <w:rPr>
                <w:rStyle w:val="Hyperlink"/>
                <w:noProof/>
              </w:rPr>
              <w:t>Acceptable behaviour contract</w:t>
            </w:r>
            <w:r>
              <w:rPr>
                <w:noProof/>
                <w:webHidden/>
              </w:rPr>
              <w:tab/>
            </w:r>
            <w:r>
              <w:rPr>
                <w:noProof/>
                <w:webHidden/>
              </w:rPr>
              <w:fldChar w:fldCharType="begin"/>
            </w:r>
            <w:r>
              <w:rPr>
                <w:noProof/>
                <w:webHidden/>
              </w:rPr>
              <w:instrText xml:space="preserve"> PAGEREF _Toc95119912 \h </w:instrText>
            </w:r>
            <w:r>
              <w:rPr>
                <w:noProof/>
                <w:webHidden/>
              </w:rPr>
            </w:r>
            <w:r>
              <w:rPr>
                <w:noProof/>
                <w:webHidden/>
              </w:rPr>
              <w:fldChar w:fldCharType="separate"/>
            </w:r>
            <w:r>
              <w:rPr>
                <w:noProof/>
                <w:webHidden/>
              </w:rPr>
              <w:t>5</w:t>
            </w:r>
            <w:r>
              <w:rPr>
                <w:noProof/>
                <w:webHidden/>
              </w:rPr>
              <w:fldChar w:fldCharType="end"/>
            </w:r>
          </w:hyperlink>
        </w:p>
        <w:p w:rsidR="00BE2EA1" w:rsidRDefault="00BE2EA1">
          <w:pPr>
            <w:pStyle w:val="TOC3"/>
            <w:tabs>
              <w:tab w:val="right" w:leader="dot" w:pos="8302"/>
            </w:tabs>
            <w:rPr>
              <w:rFonts w:asciiTheme="minorHAnsi" w:eastAsiaTheme="minorEastAsia" w:hAnsiTheme="minorHAnsi" w:cstheme="minorBidi"/>
              <w:noProof/>
              <w:sz w:val="22"/>
              <w:szCs w:val="22"/>
              <w:lang w:eastAsia="en-GB"/>
            </w:rPr>
          </w:pPr>
          <w:hyperlink w:anchor="_Toc95119913" w:history="1">
            <w:r w:rsidRPr="00040F91">
              <w:rPr>
                <w:rStyle w:val="Hyperlink"/>
                <w:noProof/>
              </w:rPr>
              <w:t>Mediation</w:t>
            </w:r>
            <w:r>
              <w:rPr>
                <w:noProof/>
                <w:webHidden/>
              </w:rPr>
              <w:tab/>
            </w:r>
            <w:r>
              <w:rPr>
                <w:noProof/>
                <w:webHidden/>
              </w:rPr>
              <w:fldChar w:fldCharType="begin"/>
            </w:r>
            <w:r>
              <w:rPr>
                <w:noProof/>
                <w:webHidden/>
              </w:rPr>
              <w:instrText xml:space="preserve"> PAGEREF _Toc95119913 \h </w:instrText>
            </w:r>
            <w:r>
              <w:rPr>
                <w:noProof/>
                <w:webHidden/>
              </w:rPr>
            </w:r>
            <w:r>
              <w:rPr>
                <w:noProof/>
                <w:webHidden/>
              </w:rPr>
              <w:fldChar w:fldCharType="separate"/>
            </w:r>
            <w:r>
              <w:rPr>
                <w:noProof/>
                <w:webHidden/>
              </w:rPr>
              <w:t>6</w:t>
            </w:r>
            <w:r>
              <w:rPr>
                <w:noProof/>
                <w:webHidden/>
              </w:rPr>
              <w:fldChar w:fldCharType="end"/>
            </w:r>
          </w:hyperlink>
        </w:p>
        <w:p w:rsidR="00BE2EA1" w:rsidRDefault="00BE2EA1">
          <w:pPr>
            <w:pStyle w:val="TOC3"/>
            <w:tabs>
              <w:tab w:val="right" w:leader="dot" w:pos="8302"/>
            </w:tabs>
            <w:rPr>
              <w:rFonts w:asciiTheme="minorHAnsi" w:eastAsiaTheme="minorEastAsia" w:hAnsiTheme="minorHAnsi" w:cstheme="minorBidi"/>
              <w:noProof/>
              <w:sz w:val="22"/>
              <w:szCs w:val="22"/>
              <w:lang w:eastAsia="en-GB"/>
            </w:rPr>
          </w:pPr>
          <w:hyperlink w:anchor="_Toc95119914" w:history="1">
            <w:r w:rsidRPr="00040F91">
              <w:rPr>
                <w:rStyle w:val="Hyperlink"/>
                <w:noProof/>
              </w:rPr>
              <w:t>Enforcement</w:t>
            </w:r>
            <w:r>
              <w:rPr>
                <w:noProof/>
                <w:webHidden/>
              </w:rPr>
              <w:tab/>
            </w:r>
            <w:r>
              <w:rPr>
                <w:noProof/>
                <w:webHidden/>
              </w:rPr>
              <w:fldChar w:fldCharType="begin"/>
            </w:r>
            <w:r>
              <w:rPr>
                <w:noProof/>
                <w:webHidden/>
              </w:rPr>
              <w:instrText xml:space="preserve"> PAGEREF _Toc95119914 \h </w:instrText>
            </w:r>
            <w:r>
              <w:rPr>
                <w:noProof/>
                <w:webHidden/>
              </w:rPr>
            </w:r>
            <w:r>
              <w:rPr>
                <w:noProof/>
                <w:webHidden/>
              </w:rPr>
              <w:fldChar w:fldCharType="separate"/>
            </w:r>
            <w:r>
              <w:rPr>
                <w:noProof/>
                <w:webHidden/>
              </w:rPr>
              <w:t>6</w:t>
            </w:r>
            <w:r>
              <w:rPr>
                <w:noProof/>
                <w:webHidden/>
              </w:rPr>
              <w:fldChar w:fldCharType="end"/>
            </w:r>
          </w:hyperlink>
        </w:p>
        <w:p w:rsidR="00BE2EA1" w:rsidRDefault="00BE2EA1">
          <w:pPr>
            <w:pStyle w:val="TOC3"/>
            <w:tabs>
              <w:tab w:val="right" w:leader="dot" w:pos="8302"/>
            </w:tabs>
            <w:rPr>
              <w:rFonts w:asciiTheme="minorHAnsi" w:eastAsiaTheme="minorEastAsia" w:hAnsiTheme="minorHAnsi" w:cstheme="minorBidi"/>
              <w:noProof/>
              <w:sz w:val="22"/>
              <w:szCs w:val="22"/>
              <w:lang w:eastAsia="en-GB"/>
            </w:rPr>
          </w:pPr>
          <w:hyperlink w:anchor="_Toc95119915" w:history="1">
            <w:r w:rsidRPr="00040F91">
              <w:rPr>
                <w:rStyle w:val="Hyperlink"/>
                <w:noProof/>
              </w:rPr>
              <w:t>Neighbour Disputes</w:t>
            </w:r>
            <w:r>
              <w:rPr>
                <w:noProof/>
                <w:webHidden/>
              </w:rPr>
              <w:tab/>
            </w:r>
            <w:r>
              <w:rPr>
                <w:noProof/>
                <w:webHidden/>
              </w:rPr>
              <w:fldChar w:fldCharType="begin"/>
            </w:r>
            <w:r>
              <w:rPr>
                <w:noProof/>
                <w:webHidden/>
              </w:rPr>
              <w:instrText xml:space="preserve"> PAGEREF _Toc95119915 \h </w:instrText>
            </w:r>
            <w:r>
              <w:rPr>
                <w:noProof/>
                <w:webHidden/>
              </w:rPr>
            </w:r>
            <w:r>
              <w:rPr>
                <w:noProof/>
                <w:webHidden/>
              </w:rPr>
              <w:fldChar w:fldCharType="separate"/>
            </w:r>
            <w:r>
              <w:rPr>
                <w:noProof/>
                <w:webHidden/>
              </w:rPr>
              <w:t>6</w:t>
            </w:r>
            <w:r>
              <w:rPr>
                <w:noProof/>
                <w:webHidden/>
              </w:rPr>
              <w:fldChar w:fldCharType="end"/>
            </w:r>
          </w:hyperlink>
        </w:p>
        <w:p w:rsidR="00BE2EA1" w:rsidRDefault="00BE2EA1">
          <w:pPr>
            <w:pStyle w:val="TOC3"/>
            <w:tabs>
              <w:tab w:val="right" w:leader="dot" w:pos="8302"/>
            </w:tabs>
            <w:rPr>
              <w:rFonts w:asciiTheme="minorHAnsi" w:eastAsiaTheme="minorEastAsia" w:hAnsiTheme="minorHAnsi" w:cstheme="minorBidi"/>
              <w:noProof/>
              <w:sz w:val="22"/>
              <w:szCs w:val="22"/>
              <w:lang w:eastAsia="en-GB"/>
            </w:rPr>
          </w:pPr>
          <w:hyperlink w:anchor="_Toc95119916" w:history="1">
            <w:r w:rsidRPr="00040F91">
              <w:rPr>
                <w:rStyle w:val="Hyperlink"/>
                <w:noProof/>
              </w:rPr>
              <w:t>Insufficient evidence to proceed</w:t>
            </w:r>
            <w:r>
              <w:rPr>
                <w:noProof/>
                <w:webHidden/>
              </w:rPr>
              <w:tab/>
            </w:r>
            <w:r>
              <w:rPr>
                <w:noProof/>
                <w:webHidden/>
              </w:rPr>
              <w:fldChar w:fldCharType="begin"/>
            </w:r>
            <w:r>
              <w:rPr>
                <w:noProof/>
                <w:webHidden/>
              </w:rPr>
              <w:instrText xml:space="preserve"> PAGEREF _Toc95119916 \h </w:instrText>
            </w:r>
            <w:r>
              <w:rPr>
                <w:noProof/>
                <w:webHidden/>
              </w:rPr>
            </w:r>
            <w:r>
              <w:rPr>
                <w:noProof/>
                <w:webHidden/>
              </w:rPr>
              <w:fldChar w:fldCharType="separate"/>
            </w:r>
            <w:r>
              <w:rPr>
                <w:noProof/>
                <w:webHidden/>
              </w:rPr>
              <w:t>6</w:t>
            </w:r>
            <w:r>
              <w:rPr>
                <w:noProof/>
                <w:webHidden/>
              </w:rPr>
              <w:fldChar w:fldCharType="end"/>
            </w:r>
          </w:hyperlink>
        </w:p>
        <w:p w:rsidR="00BE2EA1" w:rsidRDefault="00BE2EA1">
          <w:pPr>
            <w:pStyle w:val="TOC2"/>
            <w:tabs>
              <w:tab w:val="right" w:leader="dot" w:pos="8302"/>
            </w:tabs>
            <w:rPr>
              <w:rFonts w:asciiTheme="minorHAnsi" w:eastAsiaTheme="minorEastAsia" w:hAnsiTheme="minorHAnsi" w:cstheme="minorBidi"/>
              <w:noProof/>
              <w:sz w:val="22"/>
              <w:szCs w:val="22"/>
              <w:lang w:eastAsia="en-GB"/>
            </w:rPr>
          </w:pPr>
          <w:hyperlink w:anchor="_Toc95119917" w:history="1">
            <w:r w:rsidRPr="00040F91">
              <w:rPr>
                <w:rStyle w:val="Hyperlink"/>
                <w:noProof/>
              </w:rPr>
              <w:t>7. Anti-Social Behaviour caused by council tenants.</w:t>
            </w:r>
            <w:r>
              <w:rPr>
                <w:noProof/>
                <w:webHidden/>
              </w:rPr>
              <w:tab/>
            </w:r>
            <w:r>
              <w:rPr>
                <w:noProof/>
                <w:webHidden/>
              </w:rPr>
              <w:fldChar w:fldCharType="begin"/>
            </w:r>
            <w:r>
              <w:rPr>
                <w:noProof/>
                <w:webHidden/>
              </w:rPr>
              <w:instrText xml:space="preserve"> PAGEREF _Toc95119917 \h </w:instrText>
            </w:r>
            <w:r>
              <w:rPr>
                <w:noProof/>
                <w:webHidden/>
              </w:rPr>
            </w:r>
            <w:r>
              <w:rPr>
                <w:noProof/>
                <w:webHidden/>
              </w:rPr>
              <w:fldChar w:fldCharType="separate"/>
            </w:r>
            <w:r>
              <w:rPr>
                <w:noProof/>
                <w:webHidden/>
              </w:rPr>
              <w:t>7</w:t>
            </w:r>
            <w:r>
              <w:rPr>
                <w:noProof/>
                <w:webHidden/>
              </w:rPr>
              <w:fldChar w:fldCharType="end"/>
            </w:r>
          </w:hyperlink>
        </w:p>
        <w:p w:rsidR="00BE2EA1" w:rsidRDefault="00BE2EA1">
          <w:pPr>
            <w:pStyle w:val="TOC3"/>
            <w:tabs>
              <w:tab w:val="right" w:leader="dot" w:pos="8302"/>
            </w:tabs>
            <w:rPr>
              <w:rFonts w:asciiTheme="minorHAnsi" w:eastAsiaTheme="minorEastAsia" w:hAnsiTheme="minorHAnsi" w:cstheme="minorBidi"/>
              <w:noProof/>
              <w:sz w:val="22"/>
              <w:szCs w:val="22"/>
              <w:lang w:eastAsia="en-GB"/>
            </w:rPr>
          </w:pPr>
          <w:hyperlink w:anchor="_Toc95119918" w:history="1">
            <w:r w:rsidRPr="00040F91">
              <w:rPr>
                <w:rStyle w:val="Hyperlink"/>
                <w:noProof/>
              </w:rPr>
              <w:t>Responsibilities of the Tenant</w:t>
            </w:r>
            <w:r>
              <w:rPr>
                <w:noProof/>
                <w:webHidden/>
              </w:rPr>
              <w:tab/>
            </w:r>
            <w:r>
              <w:rPr>
                <w:noProof/>
                <w:webHidden/>
              </w:rPr>
              <w:fldChar w:fldCharType="begin"/>
            </w:r>
            <w:r>
              <w:rPr>
                <w:noProof/>
                <w:webHidden/>
              </w:rPr>
              <w:instrText xml:space="preserve"> PAGEREF _Toc95119918 \h </w:instrText>
            </w:r>
            <w:r>
              <w:rPr>
                <w:noProof/>
                <w:webHidden/>
              </w:rPr>
            </w:r>
            <w:r>
              <w:rPr>
                <w:noProof/>
                <w:webHidden/>
              </w:rPr>
              <w:fldChar w:fldCharType="separate"/>
            </w:r>
            <w:r>
              <w:rPr>
                <w:noProof/>
                <w:webHidden/>
              </w:rPr>
              <w:t>7</w:t>
            </w:r>
            <w:r>
              <w:rPr>
                <w:noProof/>
                <w:webHidden/>
              </w:rPr>
              <w:fldChar w:fldCharType="end"/>
            </w:r>
          </w:hyperlink>
        </w:p>
        <w:p w:rsidR="00BE2EA1" w:rsidRDefault="00BE2EA1">
          <w:pPr>
            <w:pStyle w:val="TOC3"/>
            <w:tabs>
              <w:tab w:val="right" w:leader="dot" w:pos="8302"/>
            </w:tabs>
            <w:rPr>
              <w:rFonts w:asciiTheme="minorHAnsi" w:eastAsiaTheme="minorEastAsia" w:hAnsiTheme="minorHAnsi" w:cstheme="minorBidi"/>
              <w:noProof/>
              <w:sz w:val="22"/>
              <w:szCs w:val="22"/>
              <w:lang w:eastAsia="en-GB"/>
            </w:rPr>
          </w:pPr>
          <w:hyperlink w:anchor="_Toc95119919" w:history="1">
            <w:r w:rsidRPr="00040F91">
              <w:rPr>
                <w:rStyle w:val="Hyperlink"/>
                <w:noProof/>
              </w:rPr>
              <w:t>Responsibilities of the Landlord</w:t>
            </w:r>
            <w:r>
              <w:rPr>
                <w:noProof/>
                <w:webHidden/>
              </w:rPr>
              <w:tab/>
            </w:r>
            <w:r>
              <w:rPr>
                <w:noProof/>
                <w:webHidden/>
              </w:rPr>
              <w:fldChar w:fldCharType="begin"/>
            </w:r>
            <w:r>
              <w:rPr>
                <w:noProof/>
                <w:webHidden/>
              </w:rPr>
              <w:instrText xml:space="preserve"> PAGEREF _Toc95119919 \h </w:instrText>
            </w:r>
            <w:r>
              <w:rPr>
                <w:noProof/>
                <w:webHidden/>
              </w:rPr>
            </w:r>
            <w:r>
              <w:rPr>
                <w:noProof/>
                <w:webHidden/>
              </w:rPr>
              <w:fldChar w:fldCharType="separate"/>
            </w:r>
            <w:r>
              <w:rPr>
                <w:noProof/>
                <w:webHidden/>
              </w:rPr>
              <w:t>7</w:t>
            </w:r>
            <w:r>
              <w:rPr>
                <w:noProof/>
                <w:webHidden/>
              </w:rPr>
              <w:fldChar w:fldCharType="end"/>
            </w:r>
          </w:hyperlink>
        </w:p>
        <w:p w:rsidR="00BE2EA1" w:rsidRDefault="00BE2EA1">
          <w:pPr>
            <w:pStyle w:val="TOC3"/>
            <w:tabs>
              <w:tab w:val="right" w:leader="dot" w:pos="8302"/>
            </w:tabs>
            <w:rPr>
              <w:rFonts w:asciiTheme="minorHAnsi" w:eastAsiaTheme="minorEastAsia" w:hAnsiTheme="minorHAnsi" w:cstheme="minorBidi"/>
              <w:noProof/>
              <w:sz w:val="22"/>
              <w:szCs w:val="22"/>
              <w:lang w:eastAsia="en-GB"/>
            </w:rPr>
          </w:pPr>
          <w:hyperlink w:anchor="_Toc95119920" w:history="1">
            <w:r w:rsidRPr="00040F91">
              <w:rPr>
                <w:rStyle w:val="Hyperlink"/>
                <w:noProof/>
              </w:rPr>
              <w:t>Possession Proceedings</w:t>
            </w:r>
            <w:r>
              <w:rPr>
                <w:noProof/>
                <w:webHidden/>
              </w:rPr>
              <w:tab/>
            </w:r>
            <w:r>
              <w:rPr>
                <w:noProof/>
                <w:webHidden/>
              </w:rPr>
              <w:fldChar w:fldCharType="begin"/>
            </w:r>
            <w:r>
              <w:rPr>
                <w:noProof/>
                <w:webHidden/>
              </w:rPr>
              <w:instrText xml:space="preserve"> PAGEREF _Toc95119920 \h </w:instrText>
            </w:r>
            <w:r>
              <w:rPr>
                <w:noProof/>
                <w:webHidden/>
              </w:rPr>
            </w:r>
            <w:r>
              <w:rPr>
                <w:noProof/>
                <w:webHidden/>
              </w:rPr>
              <w:fldChar w:fldCharType="separate"/>
            </w:r>
            <w:r>
              <w:rPr>
                <w:noProof/>
                <w:webHidden/>
              </w:rPr>
              <w:t>7</w:t>
            </w:r>
            <w:r>
              <w:rPr>
                <w:noProof/>
                <w:webHidden/>
              </w:rPr>
              <w:fldChar w:fldCharType="end"/>
            </w:r>
          </w:hyperlink>
        </w:p>
        <w:p w:rsidR="00BE2EA1" w:rsidRDefault="00BE2EA1">
          <w:pPr>
            <w:pStyle w:val="TOC3"/>
            <w:tabs>
              <w:tab w:val="right" w:leader="dot" w:pos="8302"/>
            </w:tabs>
            <w:rPr>
              <w:rFonts w:asciiTheme="minorHAnsi" w:eastAsiaTheme="minorEastAsia" w:hAnsiTheme="minorHAnsi" w:cstheme="minorBidi"/>
              <w:noProof/>
              <w:sz w:val="22"/>
              <w:szCs w:val="22"/>
              <w:lang w:eastAsia="en-GB"/>
            </w:rPr>
          </w:pPr>
          <w:hyperlink w:anchor="_Toc95119921" w:history="1">
            <w:r w:rsidRPr="00040F91">
              <w:rPr>
                <w:rStyle w:val="Hyperlink"/>
                <w:noProof/>
              </w:rPr>
              <w:t>Introductory Tenancies</w:t>
            </w:r>
            <w:r>
              <w:rPr>
                <w:noProof/>
                <w:webHidden/>
              </w:rPr>
              <w:tab/>
            </w:r>
            <w:r>
              <w:rPr>
                <w:noProof/>
                <w:webHidden/>
              </w:rPr>
              <w:fldChar w:fldCharType="begin"/>
            </w:r>
            <w:r>
              <w:rPr>
                <w:noProof/>
                <w:webHidden/>
              </w:rPr>
              <w:instrText xml:space="preserve"> PAGEREF _Toc95119921 \h </w:instrText>
            </w:r>
            <w:r>
              <w:rPr>
                <w:noProof/>
                <w:webHidden/>
              </w:rPr>
            </w:r>
            <w:r>
              <w:rPr>
                <w:noProof/>
                <w:webHidden/>
              </w:rPr>
              <w:fldChar w:fldCharType="separate"/>
            </w:r>
            <w:r>
              <w:rPr>
                <w:noProof/>
                <w:webHidden/>
              </w:rPr>
              <w:t>7</w:t>
            </w:r>
            <w:r>
              <w:rPr>
                <w:noProof/>
                <w:webHidden/>
              </w:rPr>
              <w:fldChar w:fldCharType="end"/>
            </w:r>
          </w:hyperlink>
        </w:p>
        <w:p w:rsidR="00BE2EA1" w:rsidRDefault="00BE2EA1">
          <w:pPr>
            <w:pStyle w:val="TOC3"/>
            <w:tabs>
              <w:tab w:val="right" w:leader="dot" w:pos="8302"/>
            </w:tabs>
            <w:rPr>
              <w:rFonts w:asciiTheme="minorHAnsi" w:eastAsiaTheme="minorEastAsia" w:hAnsiTheme="minorHAnsi" w:cstheme="minorBidi"/>
              <w:noProof/>
              <w:sz w:val="22"/>
              <w:szCs w:val="22"/>
              <w:lang w:eastAsia="en-GB"/>
            </w:rPr>
          </w:pPr>
          <w:hyperlink w:anchor="_Toc95119922" w:history="1">
            <w:r w:rsidRPr="00040F91">
              <w:rPr>
                <w:rStyle w:val="Hyperlink"/>
                <w:noProof/>
              </w:rPr>
              <w:t>Demoted Tenancies</w:t>
            </w:r>
            <w:r>
              <w:rPr>
                <w:noProof/>
                <w:webHidden/>
              </w:rPr>
              <w:tab/>
            </w:r>
            <w:r>
              <w:rPr>
                <w:noProof/>
                <w:webHidden/>
              </w:rPr>
              <w:fldChar w:fldCharType="begin"/>
            </w:r>
            <w:r>
              <w:rPr>
                <w:noProof/>
                <w:webHidden/>
              </w:rPr>
              <w:instrText xml:space="preserve"> PAGEREF _Toc95119922 \h </w:instrText>
            </w:r>
            <w:r>
              <w:rPr>
                <w:noProof/>
                <w:webHidden/>
              </w:rPr>
            </w:r>
            <w:r>
              <w:rPr>
                <w:noProof/>
                <w:webHidden/>
              </w:rPr>
              <w:fldChar w:fldCharType="separate"/>
            </w:r>
            <w:r>
              <w:rPr>
                <w:noProof/>
                <w:webHidden/>
              </w:rPr>
              <w:t>7</w:t>
            </w:r>
            <w:r>
              <w:rPr>
                <w:noProof/>
                <w:webHidden/>
              </w:rPr>
              <w:fldChar w:fldCharType="end"/>
            </w:r>
          </w:hyperlink>
        </w:p>
        <w:p w:rsidR="00BE2EA1" w:rsidRDefault="00BE2EA1">
          <w:pPr>
            <w:pStyle w:val="TOC3"/>
            <w:tabs>
              <w:tab w:val="right" w:leader="dot" w:pos="8302"/>
            </w:tabs>
            <w:rPr>
              <w:rFonts w:asciiTheme="minorHAnsi" w:eastAsiaTheme="minorEastAsia" w:hAnsiTheme="minorHAnsi" w:cstheme="minorBidi"/>
              <w:noProof/>
              <w:sz w:val="22"/>
              <w:szCs w:val="22"/>
              <w:lang w:eastAsia="en-GB"/>
            </w:rPr>
          </w:pPr>
          <w:hyperlink w:anchor="_Toc95119923" w:history="1">
            <w:r w:rsidRPr="00040F91">
              <w:rPr>
                <w:rStyle w:val="Hyperlink"/>
                <w:noProof/>
              </w:rPr>
              <w:t>Mandatory Route for Possession</w:t>
            </w:r>
            <w:r>
              <w:rPr>
                <w:noProof/>
                <w:webHidden/>
              </w:rPr>
              <w:tab/>
            </w:r>
            <w:r>
              <w:rPr>
                <w:noProof/>
                <w:webHidden/>
              </w:rPr>
              <w:fldChar w:fldCharType="begin"/>
            </w:r>
            <w:r>
              <w:rPr>
                <w:noProof/>
                <w:webHidden/>
              </w:rPr>
              <w:instrText xml:space="preserve"> PAGEREF _Toc95119923 \h </w:instrText>
            </w:r>
            <w:r>
              <w:rPr>
                <w:noProof/>
                <w:webHidden/>
              </w:rPr>
            </w:r>
            <w:r>
              <w:rPr>
                <w:noProof/>
                <w:webHidden/>
              </w:rPr>
              <w:fldChar w:fldCharType="separate"/>
            </w:r>
            <w:r>
              <w:rPr>
                <w:noProof/>
                <w:webHidden/>
              </w:rPr>
              <w:t>7</w:t>
            </w:r>
            <w:r>
              <w:rPr>
                <w:noProof/>
                <w:webHidden/>
              </w:rPr>
              <w:fldChar w:fldCharType="end"/>
            </w:r>
          </w:hyperlink>
        </w:p>
        <w:p w:rsidR="00BE2EA1" w:rsidRDefault="00BE2EA1">
          <w:pPr>
            <w:pStyle w:val="TOC2"/>
            <w:tabs>
              <w:tab w:val="right" w:leader="dot" w:pos="8302"/>
            </w:tabs>
            <w:rPr>
              <w:rFonts w:asciiTheme="minorHAnsi" w:eastAsiaTheme="minorEastAsia" w:hAnsiTheme="minorHAnsi" w:cstheme="minorBidi"/>
              <w:noProof/>
              <w:sz w:val="22"/>
              <w:szCs w:val="22"/>
              <w:lang w:eastAsia="en-GB"/>
            </w:rPr>
          </w:pPr>
          <w:hyperlink w:anchor="_Toc95119924" w:history="1">
            <w:r w:rsidRPr="00040F91">
              <w:rPr>
                <w:rStyle w:val="Hyperlink"/>
                <w:noProof/>
              </w:rPr>
              <w:t>8. The Community Trigger (ASB Case Review)</w:t>
            </w:r>
            <w:r>
              <w:rPr>
                <w:noProof/>
                <w:webHidden/>
              </w:rPr>
              <w:tab/>
            </w:r>
            <w:r>
              <w:rPr>
                <w:noProof/>
                <w:webHidden/>
              </w:rPr>
              <w:fldChar w:fldCharType="begin"/>
            </w:r>
            <w:r>
              <w:rPr>
                <w:noProof/>
                <w:webHidden/>
              </w:rPr>
              <w:instrText xml:space="preserve"> PAGEREF _Toc95119924 \h </w:instrText>
            </w:r>
            <w:r>
              <w:rPr>
                <w:noProof/>
                <w:webHidden/>
              </w:rPr>
            </w:r>
            <w:r>
              <w:rPr>
                <w:noProof/>
                <w:webHidden/>
              </w:rPr>
              <w:fldChar w:fldCharType="separate"/>
            </w:r>
            <w:r>
              <w:rPr>
                <w:noProof/>
                <w:webHidden/>
              </w:rPr>
              <w:t>8</w:t>
            </w:r>
            <w:r>
              <w:rPr>
                <w:noProof/>
                <w:webHidden/>
              </w:rPr>
              <w:fldChar w:fldCharType="end"/>
            </w:r>
          </w:hyperlink>
        </w:p>
        <w:p w:rsidR="00BE2EA1" w:rsidRDefault="00BE2EA1">
          <w:pPr>
            <w:pStyle w:val="TOC2"/>
            <w:tabs>
              <w:tab w:val="right" w:leader="dot" w:pos="8302"/>
            </w:tabs>
            <w:rPr>
              <w:rFonts w:asciiTheme="minorHAnsi" w:eastAsiaTheme="minorEastAsia" w:hAnsiTheme="minorHAnsi" w:cstheme="minorBidi"/>
              <w:noProof/>
              <w:sz w:val="22"/>
              <w:szCs w:val="22"/>
              <w:lang w:eastAsia="en-GB"/>
            </w:rPr>
          </w:pPr>
          <w:hyperlink w:anchor="_Toc95119925" w:history="1">
            <w:r w:rsidRPr="00040F91">
              <w:rPr>
                <w:rStyle w:val="Hyperlink"/>
                <w:noProof/>
              </w:rPr>
              <w:t>9. Customer Satisfaction</w:t>
            </w:r>
            <w:r>
              <w:rPr>
                <w:noProof/>
                <w:webHidden/>
              </w:rPr>
              <w:tab/>
            </w:r>
            <w:r>
              <w:rPr>
                <w:noProof/>
                <w:webHidden/>
              </w:rPr>
              <w:fldChar w:fldCharType="begin"/>
            </w:r>
            <w:r>
              <w:rPr>
                <w:noProof/>
                <w:webHidden/>
              </w:rPr>
              <w:instrText xml:space="preserve"> PAGEREF _Toc95119925 \h </w:instrText>
            </w:r>
            <w:r>
              <w:rPr>
                <w:noProof/>
                <w:webHidden/>
              </w:rPr>
            </w:r>
            <w:r>
              <w:rPr>
                <w:noProof/>
                <w:webHidden/>
              </w:rPr>
              <w:fldChar w:fldCharType="separate"/>
            </w:r>
            <w:r>
              <w:rPr>
                <w:noProof/>
                <w:webHidden/>
              </w:rPr>
              <w:t>8</w:t>
            </w:r>
            <w:r>
              <w:rPr>
                <w:noProof/>
                <w:webHidden/>
              </w:rPr>
              <w:fldChar w:fldCharType="end"/>
            </w:r>
          </w:hyperlink>
        </w:p>
        <w:p w:rsidR="00BE2EA1" w:rsidRDefault="00BE2EA1">
          <w:pPr>
            <w:pStyle w:val="TOC2"/>
            <w:tabs>
              <w:tab w:val="right" w:leader="dot" w:pos="8302"/>
            </w:tabs>
            <w:rPr>
              <w:rFonts w:asciiTheme="minorHAnsi" w:eastAsiaTheme="minorEastAsia" w:hAnsiTheme="minorHAnsi" w:cstheme="minorBidi"/>
              <w:noProof/>
              <w:sz w:val="22"/>
              <w:szCs w:val="22"/>
              <w:lang w:eastAsia="en-GB"/>
            </w:rPr>
          </w:pPr>
          <w:hyperlink w:anchor="_Toc95119926" w:history="1">
            <w:r w:rsidRPr="00040F91">
              <w:rPr>
                <w:rStyle w:val="Hyperlink"/>
                <w:noProof/>
              </w:rPr>
              <w:t>10.  Support for victims and witnesses of Anti-Social Behaviour</w:t>
            </w:r>
            <w:r>
              <w:rPr>
                <w:noProof/>
                <w:webHidden/>
              </w:rPr>
              <w:tab/>
            </w:r>
            <w:r>
              <w:rPr>
                <w:noProof/>
                <w:webHidden/>
              </w:rPr>
              <w:fldChar w:fldCharType="begin"/>
            </w:r>
            <w:r>
              <w:rPr>
                <w:noProof/>
                <w:webHidden/>
              </w:rPr>
              <w:instrText xml:space="preserve"> PAGEREF _Toc95119926 \h </w:instrText>
            </w:r>
            <w:r>
              <w:rPr>
                <w:noProof/>
                <w:webHidden/>
              </w:rPr>
            </w:r>
            <w:r>
              <w:rPr>
                <w:noProof/>
                <w:webHidden/>
              </w:rPr>
              <w:fldChar w:fldCharType="separate"/>
            </w:r>
            <w:r>
              <w:rPr>
                <w:noProof/>
                <w:webHidden/>
              </w:rPr>
              <w:t>8</w:t>
            </w:r>
            <w:r>
              <w:rPr>
                <w:noProof/>
                <w:webHidden/>
              </w:rPr>
              <w:fldChar w:fldCharType="end"/>
            </w:r>
          </w:hyperlink>
        </w:p>
        <w:p w:rsidR="00BE2EA1" w:rsidRDefault="00BE2EA1">
          <w:pPr>
            <w:pStyle w:val="TOC2"/>
            <w:tabs>
              <w:tab w:val="right" w:leader="dot" w:pos="8302"/>
            </w:tabs>
            <w:rPr>
              <w:rFonts w:asciiTheme="minorHAnsi" w:eastAsiaTheme="minorEastAsia" w:hAnsiTheme="minorHAnsi" w:cstheme="minorBidi"/>
              <w:noProof/>
              <w:sz w:val="22"/>
              <w:szCs w:val="22"/>
              <w:lang w:eastAsia="en-GB"/>
            </w:rPr>
          </w:pPr>
          <w:hyperlink w:anchor="_Toc95119927" w:history="1">
            <w:r w:rsidRPr="00040F91">
              <w:rPr>
                <w:rStyle w:val="Hyperlink"/>
                <w:noProof/>
              </w:rPr>
              <w:t>11. Support for our tenants- Management Moves</w:t>
            </w:r>
            <w:r>
              <w:rPr>
                <w:noProof/>
                <w:webHidden/>
              </w:rPr>
              <w:tab/>
            </w:r>
            <w:r>
              <w:rPr>
                <w:noProof/>
                <w:webHidden/>
              </w:rPr>
              <w:fldChar w:fldCharType="begin"/>
            </w:r>
            <w:r>
              <w:rPr>
                <w:noProof/>
                <w:webHidden/>
              </w:rPr>
              <w:instrText xml:space="preserve"> PAGEREF _Toc95119927 \h </w:instrText>
            </w:r>
            <w:r>
              <w:rPr>
                <w:noProof/>
                <w:webHidden/>
              </w:rPr>
            </w:r>
            <w:r>
              <w:rPr>
                <w:noProof/>
                <w:webHidden/>
              </w:rPr>
              <w:fldChar w:fldCharType="separate"/>
            </w:r>
            <w:r>
              <w:rPr>
                <w:noProof/>
                <w:webHidden/>
              </w:rPr>
              <w:t>9</w:t>
            </w:r>
            <w:r>
              <w:rPr>
                <w:noProof/>
                <w:webHidden/>
              </w:rPr>
              <w:fldChar w:fldCharType="end"/>
            </w:r>
          </w:hyperlink>
        </w:p>
        <w:p w:rsidR="00BE2EA1" w:rsidRDefault="00BE2EA1">
          <w:pPr>
            <w:pStyle w:val="TOC2"/>
            <w:tabs>
              <w:tab w:val="right" w:leader="dot" w:pos="8302"/>
            </w:tabs>
            <w:rPr>
              <w:rFonts w:asciiTheme="minorHAnsi" w:eastAsiaTheme="minorEastAsia" w:hAnsiTheme="minorHAnsi" w:cstheme="minorBidi"/>
              <w:noProof/>
              <w:sz w:val="22"/>
              <w:szCs w:val="22"/>
              <w:lang w:eastAsia="en-GB"/>
            </w:rPr>
          </w:pPr>
          <w:hyperlink w:anchor="_Toc95119928" w:history="1">
            <w:r w:rsidRPr="00040F91">
              <w:rPr>
                <w:rStyle w:val="Hyperlink"/>
                <w:noProof/>
              </w:rPr>
              <w:t>12. Support for vulnerable people causing Anti-Social Behaviour</w:t>
            </w:r>
            <w:r>
              <w:rPr>
                <w:noProof/>
                <w:webHidden/>
              </w:rPr>
              <w:tab/>
            </w:r>
            <w:r>
              <w:rPr>
                <w:noProof/>
                <w:webHidden/>
              </w:rPr>
              <w:fldChar w:fldCharType="begin"/>
            </w:r>
            <w:r>
              <w:rPr>
                <w:noProof/>
                <w:webHidden/>
              </w:rPr>
              <w:instrText xml:space="preserve"> PAGEREF _Toc95119928 \h </w:instrText>
            </w:r>
            <w:r>
              <w:rPr>
                <w:noProof/>
                <w:webHidden/>
              </w:rPr>
            </w:r>
            <w:r>
              <w:rPr>
                <w:noProof/>
                <w:webHidden/>
              </w:rPr>
              <w:fldChar w:fldCharType="separate"/>
            </w:r>
            <w:r>
              <w:rPr>
                <w:noProof/>
                <w:webHidden/>
              </w:rPr>
              <w:t>9</w:t>
            </w:r>
            <w:r>
              <w:rPr>
                <w:noProof/>
                <w:webHidden/>
              </w:rPr>
              <w:fldChar w:fldCharType="end"/>
            </w:r>
          </w:hyperlink>
        </w:p>
        <w:p w:rsidR="00BE2EA1" w:rsidRDefault="00BE2EA1">
          <w:pPr>
            <w:pStyle w:val="TOC2"/>
            <w:tabs>
              <w:tab w:val="right" w:leader="dot" w:pos="8302"/>
            </w:tabs>
            <w:rPr>
              <w:rFonts w:asciiTheme="minorHAnsi" w:eastAsiaTheme="minorEastAsia" w:hAnsiTheme="minorHAnsi" w:cstheme="minorBidi"/>
              <w:noProof/>
              <w:sz w:val="22"/>
              <w:szCs w:val="22"/>
              <w:lang w:eastAsia="en-GB"/>
            </w:rPr>
          </w:pPr>
          <w:hyperlink w:anchor="_Toc95119929" w:history="1">
            <w:r w:rsidRPr="00040F91">
              <w:rPr>
                <w:rStyle w:val="Hyperlink"/>
                <w:noProof/>
              </w:rPr>
              <w:t>13.  Education</w:t>
            </w:r>
            <w:r>
              <w:rPr>
                <w:noProof/>
                <w:webHidden/>
              </w:rPr>
              <w:tab/>
            </w:r>
            <w:r>
              <w:rPr>
                <w:noProof/>
                <w:webHidden/>
              </w:rPr>
              <w:fldChar w:fldCharType="begin"/>
            </w:r>
            <w:r>
              <w:rPr>
                <w:noProof/>
                <w:webHidden/>
              </w:rPr>
              <w:instrText xml:space="preserve"> PAGEREF _Toc95119929 \h </w:instrText>
            </w:r>
            <w:r>
              <w:rPr>
                <w:noProof/>
                <w:webHidden/>
              </w:rPr>
            </w:r>
            <w:r>
              <w:rPr>
                <w:noProof/>
                <w:webHidden/>
              </w:rPr>
              <w:fldChar w:fldCharType="separate"/>
            </w:r>
            <w:r>
              <w:rPr>
                <w:noProof/>
                <w:webHidden/>
              </w:rPr>
              <w:t>9</w:t>
            </w:r>
            <w:r>
              <w:rPr>
                <w:noProof/>
                <w:webHidden/>
              </w:rPr>
              <w:fldChar w:fldCharType="end"/>
            </w:r>
          </w:hyperlink>
        </w:p>
        <w:p w:rsidR="00BE2EA1" w:rsidRDefault="00BE2EA1">
          <w:pPr>
            <w:pStyle w:val="TOC2"/>
            <w:tabs>
              <w:tab w:val="right" w:leader="dot" w:pos="8302"/>
            </w:tabs>
            <w:rPr>
              <w:rFonts w:asciiTheme="minorHAnsi" w:eastAsiaTheme="minorEastAsia" w:hAnsiTheme="minorHAnsi" w:cstheme="minorBidi"/>
              <w:noProof/>
              <w:sz w:val="22"/>
              <w:szCs w:val="22"/>
              <w:lang w:eastAsia="en-GB"/>
            </w:rPr>
          </w:pPr>
          <w:hyperlink w:anchor="_Toc95119930" w:history="1">
            <w:r w:rsidRPr="00040F91">
              <w:rPr>
                <w:rStyle w:val="Hyperlink"/>
                <w:noProof/>
              </w:rPr>
              <w:t>14. Equality and Diversity Commitment</w:t>
            </w:r>
            <w:r>
              <w:rPr>
                <w:noProof/>
                <w:webHidden/>
              </w:rPr>
              <w:tab/>
            </w:r>
            <w:r>
              <w:rPr>
                <w:noProof/>
                <w:webHidden/>
              </w:rPr>
              <w:fldChar w:fldCharType="begin"/>
            </w:r>
            <w:r>
              <w:rPr>
                <w:noProof/>
                <w:webHidden/>
              </w:rPr>
              <w:instrText xml:space="preserve"> PAGEREF _Toc95119930 \h </w:instrText>
            </w:r>
            <w:r>
              <w:rPr>
                <w:noProof/>
                <w:webHidden/>
              </w:rPr>
            </w:r>
            <w:r>
              <w:rPr>
                <w:noProof/>
                <w:webHidden/>
              </w:rPr>
              <w:fldChar w:fldCharType="separate"/>
            </w:r>
            <w:r>
              <w:rPr>
                <w:noProof/>
                <w:webHidden/>
              </w:rPr>
              <w:t>9</w:t>
            </w:r>
            <w:r>
              <w:rPr>
                <w:noProof/>
                <w:webHidden/>
              </w:rPr>
              <w:fldChar w:fldCharType="end"/>
            </w:r>
          </w:hyperlink>
        </w:p>
        <w:p w:rsidR="001B4392" w:rsidRDefault="001B4392">
          <w:r>
            <w:rPr>
              <w:b/>
              <w:bCs/>
              <w:noProof/>
            </w:rPr>
            <w:fldChar w:fldCharType="end"/>
          </w:r>
        </w:p>
      </w:sdtContent>
    </w:sdt>
    <w:p w:rsidR="00325A85" w:rsidRPr="00764678" w:rsidRDefault="00325A85" w:rsidP="00325A85">
      <w:pPr>
        <w:pStyle w:val="Default"/>
        <w:tabs>
          <w:tab w:val="left" w:pos="5760"/>
        </w:tabs>
        <w:spacing w:line="360" w:lineRule="auto"/>
      </w:pPr>
    </w:p>
    <w:p w:rsidR="00325A85" w:rsidRDefault="00325A85" w:rsidP="00325A85">
      <w:pPr>
        <w:pStyle w:val="Default"/>
        <w:tabs>
          <w:tab w:val="left" w:pos="5760"/>
        </w:tabs>
        <w:rPr>
          <w:szCs w:val="23"/>
        </w:rPr>
      </w:pPr>
    </w:p>
    <w:p w:rsidR="00325A85" w:rsidRDefault="00325A85" w:rsidP="00325A85">
      <w:pPr>
        <w:pStyle w:val="Default"/>
        <w:tabs>
          <w:tab w:val="left" w:pos="5760"/>
        </w:tabs>
        <w:rPr>
          <w:szCs w:val="23"/>
        </w:rPr>
      </w:pPr>
    </w:p>
    <w:p w:rsidR="00325A85" w:rsidRDefault="00325A85" w:rsidP="00325A85">
      <w:pPr>
        <w:pStyle w:val="Default"/>
        <w:tabs>
          <w:tab w:val="left" w:pos="5760"/>
        </w:tabs>
        <w:rPr>
          <w:szCs w:val="23"/>
        </w:rPr>
      </w:pPr>
    </w:p>
    <w:p w:rsidR="00325A85" w:rsidRDefault="00325A85" w:rsidP="00325A85">
      <w:pPr>
        <w:pStyle w:val="Default"/>
        <w:tabs>
          <w:tab w:val="left" w:pos="5760"/>
        </w:tabs>
        <w:rPr>
          <w:szCs w:val="23"/>
        </w:rPr>
      </w:pPr>
    </w:p>
    <w:p w:rsidR="00325A85" w:rsidRDefault="00325A85" w:rsidP="00325A85">
      <w:pPr>
        <w:pStyle w:val="Default"/>
        <w:tabs>
          <w:tab w:val="left" w:pos="5760"/>
        </w:tabs>
        <w:rPr>
          <w:szCs w:val="23"/>
        </w:rPr>
      </w:pPr>
    </w:p>
    <w:p w:rsidR="00325A85" w:rsidRDefault="00325A85" w:rsidP="00325A85">
      <w:pPr>
        <w:pStyle w:val="Default"/>
        <w:tabs>
          <w:tab w:val="left" w:pos="5760"/>
        </w:tabs>
        <w:rPr>
          <w:szCs w:val="23"/>
        </w:rPr>
      </w:pPr>
    </w:p>
    <w:p w:rsidR="00325A85" w:rsidRDefault="00325A85" w:rsidP="00325A85">
      <w:pPr>
        <w:pStyle w:val="Default"/>
        <w:tabs>
          <w:tab w:val="left" w:pos="5760"/>
        </w:tabs>
        <w:rPr>
          <w:szCs w:val="23"/>
        </w:rPr>
      </w:pPr>
    </w:p>
    <w:p w:rsidR="00325A85" w:rsidRDefault="00325A85" w:rsidP="00325A85">
      <w:pPr>
        <w:pStyle w:val="Default"/>
        <w:tabs>
          <w:tab w:val="left" w:pos="5760"/>
        </w:tabs>
        <w:sectPr w:rsidR="00325A85" w:rsidSect="00D13864">
          <w:type w:val="continuous"/>
          <w:pgSz w:w="11906" w:h="16838"/>
          <w:pgMar w:top="1440" w:right="1797" w:bottom="1440" w:left="1797" w:header="709" w:footer="709" w:gutter="0"/>
          <w:cols w:space="708"/>
          <w:docGrid w:linePitch="360"/>
        </w:sectPr>
      </w:pPr>
    </w:p>
    <w:p w:rsidR="00325A85" w:rsidRPr="001A45BD" w:rsidRDefault="00325A85" w:rsidP="001B4392">
      <w:pPr>
        <w:pStyle w:val="Heading2"/>
      </w:pPr>
      <w:bookmarkStart w:id="1" w:name="_Toc95119903"/>
      <w:r w:rsidRPr="001A45BD">
        <w:lastRenderedPageBreak/>
        <w:t xml:space="preserve">1. </w:t>
      </w:r>
      <w:r w:rsidR="00E81E86">
        <w:t>Tackling Anti-</w:t>
      </w:r>
      <w:r w:rsidRPr="001A45BD">
        <w:t>Social Behaviour- Our Policy</w:t>
      </w:r>
      <w:bookmarkEnd w:id="1"/>
    </w:p>
    <w:p w:rsidR="00325A85" w:rsidRPr="00C6164A" w:rsidRDefault="00325A85" w:rsidP="00325A85">
      <w:pPr>
        <w:pStyle w:val="Default"/>
      </w:pPr>
    </w:p>
    <w:p w:rsidR="00325A85" w:rsidRPr="00A9120B" w:rsidRDefault="00325A85" w:rsidP="00E81E86">
      <w:r w:rsidRPr="00C6164A">
        <w:t>Anti-social behaviour can affect anyone and can have serious consequences for both individuals and communit</w:t>
      </w:r>
      <w:r w:rsidR="00B2355A">
        <w:t>ies alike. As such, Hinckley &amp;</w:t>
      </w:r>
      <w:r w:rsidRPr="00C6164A">
        <w:t xml:space="preserve"> Bosworth Borough Council is committed to working in partnership with agencies to ch</w:t>
      </w:r>
      <w:r w:rsidRPr="009A1402">
        <w:t>allenge and prevent anti-social behaviour</w:t>
      </w:r>
      <w:r>
        <w:t xml:space="preserve"> across our B</w:t>
      </w:r>
      <w:r w:rsidRPr="00A9120B">
        <w:t xml:space="preserve">orough. </w:t>
      </w:r>
    </w:p>
    <w:p w:rsidR="00325A85" w:rsidRPr="00A9120B" w:rsidRDefault="00325A85" w:rsidP="003B6CA5"/>
    <w:p w:rsidR="00325A85" w:rsidRPr="00E81E86" w:rsidRDefault="00BE2EA1" w:rsidP="00E81E86">
      <w:pPr>
        <w:pStyle w:val="Heading2"/>
      </w:pPr>
      <w:bookmarkStart w:id="2" w:name="_Toc95119904"/>
      <w:r>
        <w:t>2. Our p</w:t>
      </w:r>
      <w:r w:rsidR="00325A85" w:rsidRPr="00E81E86">
        <w:t>riorities</w:t>
      </w:r>
      <w:bookmarkEnd w:id="2"/>
      <w:r w:rsidR="00325A85" w:rsidRPr="00E81E86">
        <w:t xml:space="preserve"> </w:t>
      </w:r>
    </w:p>
    <w:p w:rsidR="00325A85" w:rsidRPr="00A9120B" w:rsidRDefault="00325A85" w:rsidP="00325A85">
      <w:pPr>
        <w:pStyle w:val="Default"/>
        <w:rPr>
          <w:b/>
          <w:szCs w:val="23"/>
        </w:rPr>
      </w:pPr>
    </w:p>
    <w:p w:rsidR="00325A85" w:rsidRPr="00A9120B" w:rsidRDefault="00325A85" w:rsidP="00E81E86">
      <w:pPr>
        <w:pStyle w:val="ListParagraph"/>
        <w:numPr>
          <w:ilvl w:val="0"/>
          <w:numId w:val="7"/>
        </w:numPr>
      </w:pPr>
      <w:r w:rsidRPr="00A9120B">
        <w:t>To ensure that every member of the community is able to safely and     peacefully enj</w:t>
      </w:r>
      <w:r>
        <w:t>oy their home and neighbourhood</w:t>
      </w:r>
      <w:r w:rsidRPr="00A9120B">
        <w:t xml:space="preserve"> </w:t>
      </w:r>
    </w:p>
    <w:p w:rsidR="00325A85" w:rsidRPr="00A9120B" w:rsidRDefault="00325A85" w:rsidP="00E81E86">
      <w:pPr>
        <w:pStyle w:val="ListParagraph"/>
        <w:numPr>
          <w:ilvl w:val="0"/>
          <w:numId w:val="7"/>
        </w:numPr>
      </w:pPr>
      <w:r w:rsidRPr="00A9120B">
        <w:t>The problem of anti-social behaviour is robustly challenged acr</w:t>
      </w:r>
      <w:r>
        <w:t>oss the B</w:t>
      </w:r>
      <w:r w:rsidRPr="00A9120B">
        <w:t>orough</w:t>
      </w:r>
    </w:p>
    <w:p w:rsidR="00325A85" w:rsidRPr="00A9120B" w:rsidRDefault="00325A85" w:rsidP="00E81E86">
      <w:pPr>
        <w:pStyle w:val="ListParagraph"/>
        <w:numPr>
          <w:ilvl w:val="0"/>
          <w:numId w:val="7"/>
        </w:numPr>
      </w:pPr>
      <w:r>
        <w:t>Offenders of</w:t>
      </w:r>
      <w:r w:rsidRPr="00A9120B">
        <w:t xml:space="preserve"> anti-social behaviour are challenged about their behaviour in a timely way</w:t>
      </w:r>
    </w:p>
    <w:p w:rsidR="00325A85" w:rsidRPr="00A9120B" w:rsidRDefault="00325A85" w:rsidP="00E81E86">
      <w:pPr>
        <w:pStyle w:val="ListParagraph"/>
        <w:numPr>
          <w:ilvl w:val="0"/>
          <w:numId w:val="7"/>
        </w:numPr>
      </w:pPr>
      <w:r w:rsidRPr="00A9120B">
        <w:t>Early prevention is put in place for those responsible for causing an</w:t>
      </w:r>
      <w:r>
        <w:t>ti-social behaviour within our B</w:t>
      </w:r>
      <w:r w:rsidRPr="00A9120B">
        <w:t xml:space="preserve">orough  </w:t>
      </w:r>
    </w:p>
    <w:p w:rsidR="00325A85" w:rsidRPr="00A9120B" w:rsidRDefault="00325A85" w:rsidP="00E81E86">
      <w:pPr>
        <w:pStyle w:val="ListParagraph"/>
        <w:numPr>
          <w:ilvl w:val="0"/>
          <w:numId w:val="7"/>
        </w:numPr>
      </w:pPr>
      <w:r w:rsidRPr="00A9120B">
        <w:t xml:space="preserve">Communities are educated about the consequences of anti-social behaviour </w:t>
      </w:r>
    </w:p>
    <w:p w:rsidR="00325A85" w:rsidRPr="00A9120B" w:rsidRDefault="00325A85" w:rsidP="00E81E86">
      <w:pPr>
        <w:pStyle w:val="ListParagraph"/>
        <w:numPr>
          <w:ilvl w:val="0"/>
          <w:numId w:val="7"/>
        </w:numPr>
      </w:pPr>
      <w:r w:rsidRPr="00A9120B">
        <w:t xml:space="preserve">Local residents feel confident to report their concerns </w:t>
      </w:r>
    </w:p>
    <w:p w:rsidR="00325A85" w:rsidRPr="00A9120B" w:rsidRDefault="00325A85" w:rsidP="00E81E86">
      <w:pPr>
        <w:pStyle w:val="ListParagraph"/>
        <w:numPr>
          <w:ilvl w:val="0"/>
          <w:numId w:val="7"/>
        </w:numPr>
      </w:pPr>
      <w:r w:rsidRPr="00A9120B">
        <w:t>Local residents feel satisfied with our response in relation to their com</w:t>
      </w:r>
      <w:r>
        <w:t>plaint and the outcome achieved</w:t>
      </w:r>
    </w:p>
    <w:p w:rsidR="00325A85" w:rsidRPr="00A9120B" w:rsidRDefault="00325A85" w:rsidP="00E81E86">
      <w:pPr>
        <w:pStyle w:val="ListParagraph"/>
        <w:numPr>
          <w:ilvl w:val="0"/>
          <w:numId w:val="7"/>
        </w:numPr>
      </w:pPr>
      <w:r w:rsidRPr="00A9120B">
        <w:t xml:space="preserve">Vulnerable people in our communities are identified and supported </w:t>
      </w:r>
    </w:p>
    <w:p w:rsidR="00325A85" w:rsidRPr="00A9120B" w:rsidRDefault="00325A85" w:rsidP="00E81E86">
      <w:pPr>
        <w:pStyle w:val="ListParagraph"/>
        <w:numPr>
          <w:ilvl w:val="0"/>
          <w:numId w:val="7"/>
        </w:numPr>
      </w:pPr>
      <w:r w:rsidRPr="00A9120B">
        <w:t xml:space="preserve">Repeat offending is reduced </w:t>
      </w:r>
    </w:p>
    <w:p w:rsidR="00325A85" w:rsidRPr="00A9120B" w:rsidRDefault="00325A85" w:rsidP="003B6CA5"/>
    <w:p w:rsidR="00325A85" w:rsidRPr="00A9120B" w:rsidRDefault="00325A85" w:rsidP="00325A85">
      <w:pPr>
        <w:pStyle w:val="Default"/>
        <w:rPr>
          <w:szCs w:val="23"/>
        </w:rPr>
      </w:pPr>
    </w:p>
    <w:p w:rsidR="00325A85" w:rsidRPr="001A45BD" w:rsidRDefault="00BE2EA1" w:rsidP="00E81E86">
      <w:pPr>
        <w:pStyle w:val="Heading2"/>
      </w:pPr>
      <w:bookmarkStart w:id="3" w:name="_Toc95119905"/>
      <w:r>
        <w:t>3. What is anti-social b</w:t>
      </w:r>
      <w:r w:rsidR="00325A85" w:rsidRPr="001A45BD">
        <w:t>ehaviour?</w:t>
      </w:r>
      <w:bookmarkEnd w:id="3"/>
    </w:p>
    <w:p w:rsidR="00325A85" w:rsidRPr="00A9120B" w:rsidRDefault="00325A85" w:rsidP="00325A85">
      <w:pPr>
        <w:pStyle w:val="Default"/>
        <w:rPr>
          <w:szCs w:val="23"/>
        </w:rPr>
      </w:pPr>
    </w:p>
    <w:p w:rsidR="00325A85" w:rsidRPr="00A9120B" w:rsidRDefault="00325A85" w:rsidP="00E81E86">
      <w:r w:rsidRPr="00A9120B">
        <w:t>Anti-social behaviour can include a variety of behaviour which adversely affects an individual or community. The Crime and Disorder Act 1998 defines anti-social behaviour as “acting in a manner likely to cause harassment, alarm or distress to an individual not of the same household”.</w:t>
      </w:r>
    </w:p>
    <w:p w:rsidR="00325A85" w:rsidRPr="00A9120B" w:rsidRDefault="00325A85" w:rsidP="00E81E86">
      <w:r w:rsidRPr="00A9120B">
        <w:br/>
        <w:t>Types of anti-social behaviour include:</w:t>
      </w:r>
    </w:p>
    <w:p w:rsidR="00325A85" w:rsidRPr="00A9120B" w:rsidRDefault="00325A85" w:rsidP="00325A85">
      <w:pPr>
        <w:shd w:val="clear" w:color="auto" w:fill="FFFFFF"/>
        <w:rPr>
          <w:rFonts w:cs="Arial"/>
          <w:color w:val="000000"/>
          <w:szCs w:val="18"/>
        </w:rPr>
      </w:pPr>
    </w:p>
    <w:p w:rsidR="00325A85" w:rsidRPr="00A9120B" w:rsidRDefault="00325A85" w:rsidP="00325A85">
      <w:pPr>
        <w:numPr>
          <w:ilvl w:val="0"/>
          <w:numId w:val="2"/>
        </w:numPr>
        <w:shd w:val="clear" w:color="auto" w:fill="FFFFFF"/>
        <w:tabs>
          <w:tab w:val="clear" w:pos="720"/>
        </w:tabs>
        <w:ind w:left="360"/>
        <w:rPr>
          <w:rFonts w:cs="Arial"/>
          <w:color w:val="000000"/>
          <w:szCs w:val="18"/>
        </w:rPr>
      </w:pPr>
      <w:r w:rsidRPr="00A9120B">
        <w:rPr>
          <w:rFonts w:cs="Arial"/>
          <w:color w:val="000000"/>
          <w:szCs w:val="18"/>
        </w:rPr>
        <w:t>Harassment (including racial harassment, homophobic harassment,</w:t>
      </w:r>
      <w:r w:rsidRPr="00A9120B">
        <w:rPr>
          <w:rFonts w:cs="Arial"/>
          <w:color w:val="000000"/>
          <w:szCs w:val="18"/>
        </w:rPr>
        <w:br/>
        <w:t>and harassment on religious grounds)</w:t>
      </w:r>
    </w:p>
    <w:p w:rsidR="00325A85" w:rsidRPr="00A9120B" w:rsidRDefault="00325A85" w:rsidP="00325A85">
      <w:pPr>
        <w:numPr>
          <w:ilvl w:val="0"/>
          <w:numId w:val="2"/>
        </w:numPr>
        <w:shd w:val="clear" w:color="auto" w:fill="FFFFFF"/>
        <w:tabs>
          <w:tab w:val="clear" w:pos="720"/>
        </w:tabs>
        <w:ind w:left="360"/>
        <w:rPr>
          <w:rFonts w:cs="Arial"/>
          <w:color w:val="000000"/>
          <w:szCs w:val="18"/>
        </w:rPr>
      </w:pPr>
      <w:r w:rsidRPr="00A9120B">
        <w:rPr>
          <w:rFonts w:cs="Arial"/>
          <w:color w:val="000000"/>
          <w:szCs w:val="18"/>
        </w:rPr>
        <w:t>Verbal and physical abuse and Intimidation</w:t>
      </w:r>
    </w:p>
    <w:p w:rsidR="00325A85" w:rsidRPr="00A9120B" w:rsidRDefault="00325A85" w:rsidP="00325A85">
      <w:pPr>
        <w:numPr>
          <w:ilvl w:val="0"/>
          <w:numId w:val="2"/>
        </w:numPr>
        <w:shd w:val="clear" w:color="auto" w:fill="FFFFFF"/>
        <w:tabs>
          <w:tab w:val="clear" w:pos="720"/>
        </w:tabs>
        <w:ind w:left="360"/>
        <w:rPr>
          <w:rFonts w:cs="Arial"/>
          <w:color w:val="000000"/>
          <w:szCs w:val="18"/>
        </w:rPr>
      </w:pPr>
      <w:r w:rsidRPr="00A9120B">
        <w:rPr>
          <w:rFonts w:cs="Arial"/>
          <w:color w:val="000000"/>
          <w:szCs w:val="18"/>
        </w:rPr>
        <w:t>Damage to property, including graffiti and vandalism</w:t>
      </w:r>
    </w:p>
    <w:p w:rsidR="00325A85" w:rsidRPr="00A9120B" w:rsidRDefault="00325A85" w:rsidP="00325A85">
      <w:pPr>
        <w:numPr>
          <w:ilvl w:val="0"/>
          <w:numId w:val="2"/>
        </w:numPr>
        <w:shd w:val="clear" w:color="auto" w:fill="FFFFFF"/>
        <w:tabs>
          <w:tab w:val="clear" w:pos="720"/>
        </w:tabs>
        <w:ind w:left="360"/>
        <w:rPr>
          <w:rFonts w:cs="Arial"/>
          <w:color w:val="000000"/>
          <w:szCs w:val="18"/>
        </w:rPr>
      </w:pPr>
      <w:r w:rsidRPr="00A9120B">
        <w:rPr>
          <w:rFonts w:cs="Arial"/>
          <w:color w:val="000000"/>
          <w:szCs w:val="18"/>
        </w:rPr>
        <w:t>Nuisance from vehicles, including parking, street repairs, and abandoned cars</w:t>
      </w:r>
    </w:p>
    <w:p w:rsidR="00325A85" w:rsidRPr="00A9120B" w:rsidRDefault="00325A85" w:rsidP="00325A85">
      <w:pPr>
        <w:numPr>
          <w:ilvl w:val="0"/>
          <w:numId w:val="2"/>
        </w:numPr>
        <w:shd w:val="clear" w:color="auto" w:fill="FFFFFF"/>
        <w:tabs>
          <w:tab w:val="clear" w:pos="720"/>
        </w:tabs>
        <w:ind w:left="360"/>
        <w:rPr>
          <w:rFonts w:cs="Arial"/>
          <w:color w:val="000000"/>
          <w:szCs w:val="18"/>
        </w:rPr>
      </w:pPr>
      <w:r w:rsidRPr="00A9120B">
        <w:rPr>
          <w:rFonts w:cs="Arial"/>
          <w:color w:val="000000"/>
          <w:szCs w:val="18"/>
        </w:rPr>
        <w:t>Noise – music, vehicles, alarms, and other types of noise</w:t>
      </w:r>
    </w:p>
    <w:p w:rsidR="00325A85" w:rsidRPr="00A9120B" w:rsidRDefault="00325A85" w:rsidP="00325A85">
      <w:pPr>
        <w:numPr>
          <w:ilvl w:val="0"/>
          <w:numId w:val="2"/>
        </w:numPr>
        <w:shd w:val="clear" w:color="auto" w:fill="FFFFFF"/>
        <w:tabs>
          <w:tab w:val="clear" w:pos="720"/>
        </w:tabs>
        <w:ind w:left="360"/>
        <w:rPr>
          <w:rFonts w:cs="Arial"/>
          <w:color w:val="000000"/>
          <w:szCs w:val="18"/>
        </w:rPr>
      </w:pPr>
      <w:r w:rsidRPr="00A9120B">
        <w:rPr>
          <w:rFonts w:cs="Arial"/>
          <w:color w:val="000000"/>
          <w:szCs w:val="18"/>
        </w:rPr>
        <w:t>Littering and fly-tipping (includes dumping of rubbish, white-goods, and furniture)</w:t>
      </w:r>
    </w:p>
    <w:p w:rsidR="00325A85" w:rsidRDefault="00325A85" w:rsidP="00325A85">
      <w:pPr>
        <w:numPr>
          <w:ilvl w:val="0"/>
          <w:numId w:val="2"/>
        </w:numPr>
        <w:shd w:val="clear" w:color="auto" w:fill="FFFFFF"/>
        <w:tabs>
          <w:tab w:val="clear" w:pos="720"/>
        </w:tabs>
        <w:ind w:left="360"/>
        <w:rPr>
          <w:szCs w:val="23"/>
        </w:rPr>
      </w:pPr>
      <w:r w:rsidRPr="00BF15C1">
        <w:rPr>
          <w:rFonts w:cs="Arial"/>
          <w:color w:val="000000"/>
          <w:szCs w:val="18"/>
        </w:rPr>
        <w:t>Using and/or selling drugs</w:t>
      </w:r>
    </w:p>
    <w:p w:rsidR="00325A85" w:rsidRDefault="00325A85" w:rsidP="00325A85">
      <w:pPr>
        <w:shd w:val="clear" w:color="auto" w:fill="FFFFFF"/>
        <w:ind w:left="360"/>
        <w:rPr>
          <w:szCs w:val="23"/>
        </w:rPr>
      </w:pPr>
    </w:p>
    <w:p w:rsidR="00325A85" w:rsidRDefault="00325A85" w:rsidP="00325A85">
      <w:pPr>
        <w:autoSpaceDE w:val="0"/>
        <w:autoSpaceDN w:val="0"/>
        <w:adjustRightInd w:val="0"/>
        <w:spacing w:line="241" w:lineRule="atLeast"/>
        <w:rPr>
          <w:rFonts w:eastAsia="Calibri" w:cs="Arial"/>
          <w:b/>
        </w:rPr>
      </w:pPr>
    </w:p>
    <w:p w:rsidR="00325A85" w:rsidRPr="00966B96" w:rsidRDefault="00325A85" w:rsidP="00E81E86">
      <w:pPr>
        <w:rPr>
          <w:rFonts w:eastAsia="Calibri"/>
        </w:rPr>
      </w:pPr>
      <w:r w:rsidRPr="00801B8F">
        <w:rPr>
          <w:rFonts w:eastAsia="Calibri"/>
        </w:rPr>
        <w:t>Anti-social behaviour is not</w:t>
      </w:r>
      <w:r w:rsidRPr="00966B96">
        <w:rPr>
          <w:rFonts w:eastAsia="Calibri"/>
        </w:rPr>
        <w:t>:</w:t>
      </w:r>
    </w:p>
    <w:p w:rsidR="00325A85" w:rsidRPr="00801B8F" w:rsidRDefault="00325A85" w:rsidP="00325A85">
      <w:pPr>
        <w:autoSpaceDE w:val="0"/>
        <w:autoSpaceDN w:val="0"/>
        <w:adjustRightInd w:val="0"/>
        <w:rPr>
          <w:rFonts w:ascii="Akzidenz-Grotesk Std Regular" w:eastAsia="Calibri" w:hAnsi="Akzidenz-Grotesk Std Regular" w:cs="Akzidenz-Grotesk Std Regular"/>
          <w:color w:val="000000"/>
        </w:rPr>
      </w:pPr>
    </w:p>
    <w:p w:rsidR="00325A85" w:rsidRPr="00801B8F" w:rsidRDefault="00325A85" w:rsidP="00325A85">
      <w:pPr>
        <w:numPr>
          <w:ilvl w:val="0"/>
          <w:numId w:val="4"/>
        </w:numPr>
        <w:autoSpaceDE w:val="0"/>
        <w:autoSpaceDN w:val="0"/>
        <w:adjustRightInd w:val="0"/>
        <w:spacing w:after="17"/>
        <w:rPr>
          <w:rFonts w:eastAsia="Calibri" w:cs="Arial"/>
        </w:rPr>
      </w:pPr>
      <w:r>
        <w:rPr>
          <w:rFonts w:eastAsia="Calibri" w:cs="Arial"/>
        </w:rPr>
        <w:lastRenderedPageBreak/>
        <w:t>Children playing</w:t>
      </w:r>
    </w:p>
    <w:p w:rsidR="00325A85" w:rsidRPr="00801B8F" w:rsidRDefault="00325A85" w:rsidP="00325A85">
      <w:pPr>
        <w:numPr>
          <w:ilvl w:val="0"/>
          <w:numId w:val="4"/>
        </w:numPr>
        <w:autoSpaceDE w:val="0"/>
        <w:autoSpaceDN w:val="0"/>
        <w:adjustRightInd w:val="0"/>
        <w:spacing w:after="17"/>
        <w:rPr>
          <w:rFonts w:eastAsia="Calibri" w:cs="Arial"/>
        </w:rPr>
      </w:pPr>
      <w:r>
        <w:rPr>
          <w:rFonts w:eastAsia="Calibri" w:cs="Arial"/>
        </w:rPr>
        <w:t>N</w:t>
      </w:r>
      <w:r w:rsidRPr="00801B8F">
        <w:rPr>
          <w:rFonts w:eastAsia="Calibri" w:cs="Arial"/>
        </w:rPr>
        <w:t>eighbours doing DIY (</w:t>
      </w:r>
      <w:r>
        <w:rPr>
          <w:rFonts w:eastAsia="Calibri" w:cs="Arial"/>
        </w:rPr>
        <w:t>at reasonable times of the day)</w:t>
      </w:r>
    </w:p>
    <w:p w:rsidR="00325A85" w:rsidRPr="00801B8F" w:rsidRDefault="00325A85" w:rsidP="00325A85">
      <w:pPr>
        <w:numPr>
          <w:ilvl w:val="0"/>
          <w:numId w:val="4"/>
        </w:numPr>
        <w:autoSpaceDE w:val="0"/>
        <w:autoSpaceDN w:val="0"/>
        <w:adjustRightInd w:val="0"/>
        <w:spacing w:after="17"/>
        <w:rPr>
          <w:rFonts w:eastAsia="Calibri" w:cs="Arial"/>
        </w:rPr>
      </w:pPr>
      <w:r>
        <w:rPr>
          <w:rFonts w:eastAsia="Calibri" w:cs="Arial"/>
        </w:rPr>
        <w:t>G</w:t>
      </w:r>
      <w:r w:rsidRPr="00801B8F">
        <w:rPr>
          <w:rFonts w:eastAsia="Calibri" w:cs="Arial"/>
        </w:rPr>
        <w:t xml:space="preserve">roups of people in the street or in parks, unless they are being rowdy, </w:t>
      </w:r>
      <w:r>
        <w:rPr>
          <w:rFonts w:eastAsia="Calibri" w:cs="Arial"/>
        </w:rPr>
        <w:t>a</w:t>
      </w:r>
      <w:r w:rsidRPr="00801B8F">
        <w:rPr>
          <w:rFonts w:eastAsia="Calibri" w:cs="Arial"/>
        </w:rPr>
        <w:t>busive, causing da</w:t>
      </w:r>
      <w:r>
        <w:rPr>
          <w:rFonts w:eastAsia="Calibri" w:cs="Arial"/>
        </w:rPr>
        <w:t>mage or committing other crimes</w:t>
      </w:r>
    </w:p>
    <w:p w:rsidR="00325A85" w:rsidRPr="00801B8F" w:rsidRDefault="00325A85" w:rsidP="00325A85">
      <w:pPr>
        <w:numPr>
          <w:ilvl w:val="0"/>
          <w:numId w:val="4"/>
        </w:numPr>
        <w:autoSpaceDE w:val="0"/>
        <w:autoSpaceDN w:val="0"/>
        <w:adjustRightInd w:val="0"/>
        <w:spacing w:after="17"/>
        <w:rPr>
          <w:rFonts w:eastAsia="Calibri" w:cs="Arial"/>
        </w:rPr>
      </w:pPr>
      <w:r>
        <w:rPr>
          <w:rFonts w:eastAsia="Calibri" w:cs="Arial"/>
        </w:rPr>
        <w:t>N</w:t>
      </w:r>
      <w:r w:rsidRPr="00801B8F">
        <w:rPr>
          <w:rFonts w:eastAsia="Calibri" w:cs="Arial"/>
        </w:rPr>
        <w:t>oise</w:t>
      </w:r>
      <w:r>
        <w:rPr>
          <w:rFonts w:eastAsia="Calibri" w:cs="Arial"/>
        </w:rPr>
        <w:t xml:space="preserve"> caused by </w:t>
      </w:r>
      <w:r w:rsidR="00E81E86">
        <w:rPr>
          <w:rFonts w:eastAsia="Calibri" w:cs="Arial"/>
        </w:rPr>
        <w:t>everyday</w:t>
      </w:r>
      <w:r>
        <w:rPr>
          <w:rFonts w:eastAsia="Calibri" w:cs="Arial"/>
        </w:rPr>
        <w:t xml:space="preserve"> living</w:t>
      </w:r>
    </w:p>
    <w:p w:rsidR="00325A85" w:rsidRPr="00530FF0" w:rsidRDefault="00325A85" w:rsidP="00325A85">
      <w:pPr>
        <w:numPr>
          <w:ilvl w:val="0"/>
          <w:numId w:val="4"/>
        </w:numPr>
        <w:shd w:val="clear" w:color="auto" w:fill="FFFFFF"/>
        <w:rPr>
          <w:szCs w:val="23"/>
        </w:rPr>
      </w:pPr>
      <w:r>
        <w:rPr>
          <w:rFonts w:eastAsia="Calibri" w:cs="Arial"/>
        </w:rPr>
        <w:t>R</w:t>
      </w:r>
      <w:r w:rsidRPr="00801B8F">
        <w:rPr>
          <w:rFonts w:eastAsia="Calibri" w:cs="Arial"/>
        </w:rPr>
        <w:t>eligious or cultural practice</w:t>
      </w:r>
    </w:p>
    <w:p w:rsidR="00325A85" w:rsidRDefault="00325A85" w:rsidP="00325A85">
      <w:pPr>
        <w:shd w:val="clear" w:color="auto" w:fill="FFFFFF"/>
        <w:rPr>
          <w:rFonts w:eastAsia="Calibri" w:cs="Arial"/>
        </w:rPr>
      </w:pPr>
    </w:p>
    <w:p w:rsidR="00325A85" w:rsidRPr="006956CC" w:rsidRDefault="00B2355A" w:rsidP="00E81E86">
      <w:r>
        <w:t>Hinckley</w:t>
      </w:r>
      <w:r w:rsidR="001B4392">
        <w:t xml:space="preserve"> &amp;</w:t>
      </w:r>
      <w:r>
        <w:t xml:space="preserve"> </w:t>
      </w:r>
      <w:r w:rsidR="00325A85" w:rsidRPr="006956CC">
        <w:t xml:space="preserve">Bosworth Borough Council is committed to developing and maintaining sustainable communities across the </w:t>
      </w:r>
      <w:r>
        <w:t>b</w:t>
      </w:r>
      <w:r w:rsidR="00325A85" w:rsidRPr="006956CC">
        <w:t xml:space="preserve">orough. There are a number of departments within the council who can assist in dealing with </w:t>
      </w:r>
      <w:r w:rsidRPr="006956CC">
        <w:t>anti-social</w:t>
      </w:r>
      <w:r w:rsidR="00325A85" w:rsidRPr="006956CC">
        <w:t xml:space="preserve"> behaviour complaints, depending on the nature of the complaint. In some cases, the police may be the most appropriate agency to deal with a complaint of </w:t>
      </w:r>
      <w:r w:rsidRPr="006956CC">
        <w:t>anti-social</w:t>
      </w:r>
      <w:r w:rsidR="00325A85" w:rsidRPr="006956CC">
        <w:t xml:space="preserve"> behaviour</w:t>
      </w:r>
      <w:r w:rsidR="00325A85">
        <w:t>,</w:t>
      </w:r>
      <w:r w:rsidR="00325A85" w:rsidRPr="006956CC">
        <w:t xml:space="preserve"> particularly if the </w:t>
      </w:r>
      <w:r w:rsidRPr="006956CC">
        <w:t>anti-social</w:t>
      </w:r>
      <w:r w:rsidR="00325A85" w:rsidRPr="006956CC">
        <w:t xml:space="preserve"> behaviour includes co</w:t>
      </w:r>
      <w:r w:rsidR="00325A85">
        <w:t xml:space="preserve">ncerns about criminal behaviour. In such instances, there will be no further role for the council. </w:t>
      </w:r>
      <w:r w:rsidR="00325A85" w:rsidRPr="006956CC">
        <w:t xml:space="preserve"> </w:t>
      </w:r>
    </w:p>
    <w:p w:rsidR="00325A85" w:rsidRPr="006956CC" w:rsidRDefault="00325A85" w:rsidP="00E81E86">
      <w:pPr>
        <w:rPr>
          <w:rFonts w:cs="Arial"/>
        </w:rPr>
      </w:pPr>
    </w:p>
    <w:p w:rsidR="00325A85" w:rsidRDefault="00325A85" w:rsidP="00E81E86">
      <w:pPr>
        <w:rPr>
          <w:rFonts w:cs="Arial"/>
        </w:rPr>
      </w:pPr>
      <w:r w:rsidRPr="006956CC">
        <w:rPr>
          <w:rFonts w:cs="Arial"/>
        </w:rPr>
        <w:t xml:space="preserve">The </w:t>
      </w:r>
      <w:r>
        <w:rPr>
          <w:rFonts w:cs="Arial"/>
        </w:rPr>
        <w:t xml:space="preserve">Council’s </w:t>
      </w:r>
      <w:r w:rsidR="00B2355A">
        <w:rPr>
          <w:rFonts w:cs="Arial"/>
        </w:rPr>
        <w:t>Anti-Social</w:t>
      </w:r>
      <w:r>
        <w:rPr>
          <w:rFonts w:cs="Arial"/>
        </w:rPr>
        <w:t xml:space="preserve"> Behaviour team</w:t>
      </w:r>
      <w:r w:rsidRPr="006956CC">
        <w:rPr>
          <w:rFonts w:cs="Arial"/>
        </w:rPr>
        <w:t xml:space="preserve"> may be unable to assist in dealing with </w:t>
      </w:r>
      <w:r w:rsidR="00B2355A" w:rsidRPr="006956CC">
        <w:rPr>
          <w:rFonts w:cs="Arial"/>
        </w:rPr>
        <w:t>anti-social</w:t>
      </w:r>
      <w:r w:rsidRPr="006956CC">
        <w:rPr>
          <w:rFonts w:cs="Arial"/>
        </w:rPr>
        <w:t xml:space="preserve"> behaviour complaints if there is alternative primary legislation </w:t>
      </w:r>
      <w:r>
        <w:rPr>
          <w:rFonts w:cs="Arial"/>
        </w:rPr>
        <w:t>that is more appropriate to manage the issue raised.</w:t>
      </w:r>
      <w:r w:rsidRPr="006956CC">
        <w:rPr>
          <w:rFonts w:cs="Arial"/>
        </w:rPr>
        <w:t xml:space="preserve"> </w:t>
      </w:r>
    </w:p>
    <w:p w:rsidR="00325A85" w:rsidRDefault="00325A85" w:rsidP="00E81E86">
      <w:pPr>
        <w:rPr>
          <w:rFonts w:cs="Arial"/>
        </w:rPr>
      </w:pPr>
    </w:p>
    <w:p w:rsidR="00325A85" w:rsidRDefault="00325A85" w:rsidP="00E81E86">
      <w:pPr>
        <w:rPr>
          <w:rFonts w:cs="Arial"/>
        </w:rPr>
      </w:pPr>
      <w:r w:rsidRPr="008C7B21">
        <w:rPr>
          <w:rFonts w:cs="Arial"/>
        </w:rPr>
        <w:t xml:space="preserve">The council may not be able to take further action if a report of </w:t>
      </w:r>
      <w:r w:rsidR="00B2355A" w:rsidRPr="008C7B21">
        <w:rPr>
          <w:rFonts w:cs="Arial"/>
        </w:rPr>
        <w:t>anti-social</w:t>
      </w:r>
      <w:r w:rsidRPr="008C7B21">
        <w:rPr>
          <w:rFonts w:cs="Arial"/>
        </w:rPr>
        <w:t xml:space="preserve"> behaviour is received anonymously, unless it can be substantiated another way. All cases will be dealt with confidentially</w:t>
      </w:r>
      <w:r>
        <w:rPr>
          <w:rFonts w:cs="Arial"/>
        </w:rPr>
        <w:t xml:space="preserve"> and the </w:t>
      </w:r>
      <w:r w:rsidR="00B2355A">
        <w:rPr>
          <w:rFonts w:cs="Arial"/>
        </w:rPr>
        <w:t>Anti-Social</w:t>
      </w:r>
      <w:r>
        <w:rPr>
          <w:rFonts w:cs="Arial"/>
        </w:rPr>
        <w:t xml:space="preserve"> Behaviour Team will not disclose the identity of the victim or witness to the subject of the </w:t>
      </w:r>
      <w:r w:rsidR="00B2355A">
        <w:rPr>
          <w:rFonts w:cs="Arial"/>
        </w:rPr>
        <w:t>anti-social</w:t>
      </w:r>
      <w:r>
        <w:rPr>
          <w:rFonts w:cs="Arial"/>
        </w:rPr>
        <w:t xml:space="preserve"> behaviour without the consent of the victim/witness.</w:t>
      </w:r>
    </w:p>
    <w:p w:rsidR="00325A85" w:rsidRDefault="00325A85" w:rsidP="00325A85">
      <w:pPr>
        <w:shd w:val="clear" w:color="auto" w:fill="FFFFFF"/>
        <w:jc w:val="both"/>
        <w:rPr>
          <w:rFonts w:cs="Arial"/>
        </w:rPr>
      </w:pPr>
    </w:p>
    <w:p w:rsidR="00325A85" w:rsidRPr="00AC3627" w:rsidRDefault="00325A85" w:rsidP="00E81E86">
      <w:pPr>
        <w:pStyle w:val="Heading2"/>
      </w:pPr>
      <w:bookmarkStart w:id="4" w:name="_Hlk94693704"/>
      <w:bookmarkStart w:id="5" w:name="_Toc95119906"/>
      <w:r w:rsidRPr="00AC3627">
        <w:t>4. Hate related incidents</w:t>
      </w:r>
      <w:bookmarkEnd w:id="5"/>
    </w:p>
    <w:p w:rsidR="00325A85" w:rsidRPr="006876D0" w:rsidRDefault="00325A85" w:rsidP="00325A85">
      <w:pPr>
        <w:shd w:val="clear" w:color="auto" w:fill="FFFFFF"/>
        <w:jc w:val="both"/>
        <w:rPr>
          <w:rFonts w:cs="Arial"/>
        </w:rPr>
      </w:pPr>
    </w:p>
    <w:p w:rsidR="00325A85" w:rsidRDefault="00325A85" w:rsidP="00E81E86">
      <w:r w:rsidRPr="00AC3627">
        <w:t xml:space="preserve">A hate incident is any behaviour that is perceived by the victim or any other person as being motivated by prejudice or hostility based upon the victim’s real or perceived:- </w:t>
      </w:r>
    </w:p>
    <w:p w:rsidR="00325A85" w:rsidRDefault="00325A85" w:rsidP="00E81E86"/>
    <w:p w:rsidR="00325A85" w:rsidRDefault="00325A85" w:rsidP="00E81E86">
      <w:pPr>
        <w:pStyle w:val="ListParagraph"/>
        <w:numPr>
          <w:ilvl w:val="0"/>
          <w:numId w:val="8"/>
        </w:numPr>
      </w:pPr>
      <w:r w:rsidRPr="00AC3627">
        <w:t>Race/Ethnicity – including</w:t>
      </w:r>
      <w:r>
        <w:t xml:space="preserve"> </w:t>
      </w:r>
      <w:r w:rsidRPr="00AC3627">
        <w:t>ethnic origin, skin colour, nationa</w:t>
      </w:r>
      <w:r w:rsidR="00E81E86">
        <w:t>lity, culture, and/or language</w:t>
      </w:r>
    </w:p>
    <w:p w:rsidR="00325A85" w:rsidRDefault="00E81E86" w:rsidP="00E81E86">
      <w:pPr>
        <w:pStyle w:val="ListParagraph"/>
        <w:numPr>
          <w:ilvl w:val="0"/>
          <w:numId w:val="8"/>
        </w:numPr>
      </w:pPr>
      <w:r>
        <w:t>Sexual orientation/Homophobia</w:t>
      </w:r>
    </w:p>
    <w:p w:rsidR="00325A85" w:rsidRDefault="00E81E86" w:rsidP="00E81E86">
      <w:pPr>
        <w:pStyle w:val="ListParagraph"/>
        <w:numPr>
          <w:ilvl w:val="0"/>
          <w:numId w:val="8"/>
        </w:numPr>
      </w:pPr>
      <w:r>
        <w:t>Faith, religion or belief</w:t>
      </w:r>
    </w:p>
    <w:p w:rsidR="00325A85" w:rsidRDefault="00E81E86" w:rsidP="00E81E86">
      <w:pPr>
        <w:pStyle w:val="ListParagraph"/>
        <w:numPr>
          <w:ilvl w:val="0"/>
          <w:numId w:val="8"/>
        </w:numPr>
      </w:pPr>
      <w:r>
        <w:t>Disability</w:t>
      </w:r>
    </w:p>
    <w:p w:rsidR="00325A85" w:rsidRDefault="00E81E86" w:rsidP="00E81E86">
      <w:pPr>
        <w:pStyle w:val="ListParagraph"/>
        <w:numPr>
          <w:ilvl w:val="0"/>
          <w:numId w:val="8"/>
        </w:numPr>
      </w:pPr>
      <w:r>
        <w:t>Transgender/Gender identity</w:t>
      </w:r>
    </w:p>
    <w:p w:rsidR="00325A85" w:rsidRDefault="00325A85" w:rsidP="00E81E86"/>
    <w:p w:rsidR="00325A85" w:rsidRPr="00F1726A" w:rsidRDefault="00325A85" w:rsidP="00E81E86">
      <w:bookmarkStart w:id="6" w:name="_Hlk94713227"/>
      <w:r w:rsidRPr="00AC3627">
        <w:t xml:space="preserve">All ASB </w:t>
      </w:r>
      <w:r w:rsidRPr="00F1726A">
        <w:t>complaints that</w:t>
      </w:r>
      <w:r w:rsidRPr="00AC3627">
        <w:t xml:space="preserve"> involve a hate-related element will be processed as an urgent enquiry</w:t>
      </w:r>
      <w:r w:rsidRPr="00F1726A">
        <w:t xml:space="preserve">. </w:t>
      </w:r>
      <w:r w:rsidRPr="007461AD">
        <w:t>If it is deemed that the police, or another organisation are the most appropriate agency to deal with a reported hate incident, then the relevant referral will be made.</w:t>
      </w:r>
    </w:p>
    <w:bookmarkEnd w:id="6"/>
    <w:p w:rsidR="00325A85" w:rsidRPr="006876D0" w:rsidRDefault="00325A85" w:rsidP="00325A85">
      <w:pPr>
        <w:shd w:val="clear" w:color="auto" w:fill="FFFFFF"/>
        <w:jc w:val="both"/>
        <w:rPr>
          <w:rFonts w:cs="Arial"/>
        </w:rPr>
      </w:pPr>
    </w:p>
    <w:bookmarkEnd w:id="4"/>
    <w:p w:rsidR="00325A85" w:rsidRPr="00A9120B" w:rsidRDefault="00325A85" w:rsidP="00325A85">
      <w:pPr>
        <w:pStyle w:val="Default"/>
        <w:rPr>
          <w:szCs w:val="23"/>
        </w:rPr>
      </w:pPr>
    </w:p>
    <w:p w:rsidR="00325A85" w:rsidRPr="001A45BD" w:rsidRDefault="00325A85" w:rsidP="00D227B4">
      <w:pPr>
        <w:pStyle w:val="Heading2"/>
      </w:pPr>
      <w:bookmarkStart w:id="7" w:name="_Toc95119907"/>
      <w:r>
        <w:t>5</w:t>
      </w:r>
      <w:r w:rsidRPr="001A45BD">
        <w:t xml:space="preserve">. Working in </w:t>
      </w:r>
      <w:r w:rsidR="00BE2EA1">
        <w:t>p</w:t>
      </w:r>
      <w:r w:rsidRPr="001A45BD">
        <w:t>artnership</w:t>
      </w:r>
      <w:bookmarkEnd w:id="7"/>
    </w:p>
    <w:p w:rsidR="00325A85" w:rsidRPr="00A9120B" w:rsidRDefault="00325A85" w:rsidP="00325A85">
      <w:pPr>
        <w:pStyle w:val="Default"/>
        <w:rPr>
          <w:szCs w:val="23"/>
        </w:rPr>
      </w:pPr>
    </w:p>
    <w:p w:rsidR="00325A85" w:rsidRPr="009C5360" w:rsidRDefault="00E54699" w:rsidP="00D227B4">
      <w:r>
        <w:t xml:space="preserve">Hinckley &amp; </w:t>
      </w:r>
      <w:r w:rsidR="00325A85" w:rsidRPr="00A9120B">
        <w:t>Bosworth Borough Council is committed to working in partnership to challenge and tackle an</w:t>
      </w:r>
      <w:r w:rsidR="00325A85">
        <w:t>ti-social behaviour within our B</w:t>
      </w:r>
      <w:r w:rsidR="00325A85" w:rsidRPr="00A9120B">
        <w:t xml:space="preserve">orough. The </w:t>
      </w:r>
      <w:r w:rsidR="00325A85" w:rsidRPr="00A9120B">
        <w:lastRenderedPageBreak/>
        <w:t>Endeavour team is a dedicated community protection team which seeks to co-ordinate a multi-agency response to dealing with all community protection concerns including anti-social behaviour. The Endeavour team comprises a number of agencies including: the Borough Council, the Police</w:t>
      </w:r>
      <w:r w:rsidR="00325A85">
        <w:t>, Leicestershire County Council</w:t>
      </w:r>
      <w:r w:rsidR="00325A85" w:rsidRPr="00A9120B">
        <w:t xml:space="preserve"> and Leicestershire Fire and Rescue Service. </w:t>
      </w:r>
    </w:p>
    <w:p w:rsidR="00325A85" w:rsidRPr="00A9120B" w:rsidRDefault="00325A85" w:rsidP="00325A85">
      <w:pPr>
        <w:autoSpaceDE w:val="0"/>
        <w:autoSpaceDN w:val="0"/>
        <w:adjustRightInd w:val="0"/>
        <w:rPr>
          <w:rFonts w:cs="Arial"/>
        </w:rPr>
      </w:pPr>
    </w:p>
    <w:p w:rsidR="00325A85" w:rsidRPr="00A9120B" w:rsidRDefault="00325A85" w:rsidP="00325A85">
      <w:pPr>
        <w:autoSpaceDE w:val="0"/>
        <w:autoSpaceDN w:val="0"/>
        <w:adjustRightInd w:val="0"/>
        <w:rPr>
          <w:rFonts w:cs="Arial"/>
        </w:rPr>
      </w:pPr>
    </w:p>
    <w:p w:rsidR="00325A85" w:rsidRPr="001A45BD" w:rsidRDefault="00325A85" w:rsidP="00D227B4">
      <w:pPr>
        <w:pStyle w:val="Heading2"/>
      </w:pPr>
      <w:bookmarkStart w:id="8" w:name="_Toc95119908"/>
      <w:r>
        <w:t>6</w:t>
      </w:r>
      <w:r w:rsidRPr="001A45BD">
        <w:t xml:space="preserve">. Our </w:t>
      </w:r>
      <w:r w:rsidR="00BE2EA1">
        <w:t>a</w:t>
      </w:r>
      <w:r w:rsidRPr="001A45BD">
        <w:t>pproach</w:t>
      </w:r>
      <w:bookmarkEnd w:id="8"/>
      <w:r w:rsidRPr="001A45BD">
        <w:t xml:space="preserve"> </w:t>
      </w:r>
    </w:p>
    <w:p w:rsidR="00325A85" w:rsidRDefault="00325A85" w:rsidP="00325A85">
      <w:pPr>
        <w:pStyle w:val="Default"/>
        <w:rPr>
          <w:b/>
          <w:color w:val="auto"/>
          <w:szCs w:val="23"/>
        </w:rPr>
      </w:pPr>
    </w:p>
    <w:p w:rsidR="00325A85" w:rsidRPr="00D227B4" w:rsidRDefault="00BE2EA1" w:rsidP="00D227B4">
      <w:pPr>
        <w:pStyle w:val="Heading3"/>
      </w:pPr>
      <w:bookmarkStart w:id="9" w:name="_Toc95119909"/>
      <w:r>
        <w:t>The incremental a</w:t>
      </w:r>
      <w:r w:rsidR="00325A85" w:rsidRPr="00D227B4">
        <w:t>pproach</w:t>
      </w:r>
      <w:bookmarkEnd w:id="9"/>
      <w:r w:rsidR="00325A85" w:rsidRPr="00D227B4">
        <w:t xml:space="preserve"> </w:t>
      </w:r>
    </w:p>
    <w:p w:rsidR="00325A85" w:rsidRPr="003539F1" w:rsidRDefault="00325A85" w:rsidP="00325A85">
      <w:pPr>
        <w:pStyle w:val="Default"/>
        <w:rPr>
          <w:b/>
          <w:color w:val="auto"/>
          <w:szCs w:val="23"/>
        </w:rPr>
      </w:pPr>
    </w:p>
    <w:p w:rsidR="00325A85" w:rsidRDefault="00E54699" w:rsidP="00D227B4">
      <w:r>
        <w:t xml:space="preserve">Hinckley &amp; </w:t>
      </w:r>
      <w:r w:rsidR="00325A85" w:rsidRPr="00C6164A">
        <w:t>Bosworth Borough Council follow</w:t>
      </w:r>
      <w:r w:rsidR="00325A85">
        <w:t>s</w:t>
      </w:r>
      <w:r w:rsidR="00325A85" w:rsidRPr="00C6164A">
        <w:t xml:space="preserve"> an incremental approach to responding to and taking action against those individuals causing anti-social behaviour</w:t>
      </w:r>
      <w:r w:rsidR="00325A85">
        <w:t xml:space="preserve"> in our B</w:t>
      </w:r>
      <w:r w:rsidR="00325A85" w:rsidRPr="00C6164A">
        <w:t>orough. We aim to provide a consistent and proportionate response towards all perpetrators of anti-social behaviour.</w:t>
      </w:r>
    </w:p>
    <w:p w:rsidR="00325A85" w:rsidRDefault="00325A85" w:rsidP="00D227B4"/>
    <w:p w:rsidR="00325A85" w:rsidRPr="00C6164A" w:rsidRDefault="00325A85" w:rsidP="00D227B4">
      <w:r w:rsidRPr="00E37B3F">
        <w:rPr>
          <w:szCs w:val="22"/>
        </w:rPr>
        <w:t>A person can enter the incremental approach at any stage dependant on the severity of the incident reported and/or the timeframe since any previous incidents. In the majority of cases, the officers are guided by a 6 month timeframe when determining the most appropriate stage to enter the tiered approach. If it is deemed to be appropriate, an individual can also be issued with the same sanction on multiple occasions.</w:t>
      </w:r>
    </w:p>
    <w:p w:rsidR="00325A85" w:rsidRPr="00C6164A" w:rsidRDefault="00325A85" w:rsidP="00D227B4"/>
    <w:p w:rsidR="00325A85" w:rsidRDefault="00325A85" w:rsidP="00D227B4">
      <w:pPr>
        <w:rPr>
          <w:color w:val="000000"/>
        </w:rPr>
      </w:pPr>
      <w:r w:rsidRPr="00C6164A">
        <w:rPr>
          <w:color w:val="000000"/>
        </w:rPr>
        <w:t>We recognise that in some circumstances individuals causing anti-social behaviour will not realise that their behaviour is impacting on others</w:t>
      </w:r>
      <w:r>
        <w:rPr>
          <w:color w:val="000000"/>
        </w:rPr>
        <w:t>,</w:t>
      </w:r>
      <w:r w:rsidRPr="00C6164A">
        <w:rPr>
          <w:color w:val="000000"/>
        </w:rPr>
        <w:t xml:space="preserve"> therefore, where appropriate</w:t>
      </w:r>
      <w:r>
        <w:rPr>
          <w:color w:val="000000"/>
        </w:rPr>
        <w:t xml:space="preserve"> and necessary</w:t>
      </w:r>
      <w:r w:rsidRPr="00C6164A">
        <w:rPr>
          <w:color w:val="000000"/>
        </w:rPr>
        <w:t xml:space="preserve">, referrals to other supportive agencies will be made. </w:t>
      </w:r>
    </w:p>
    <w:p w:rsidR="00325A85" w:rsidRDefault="00325A85" w:rsidP="00D227B4">
      <w:pPr>
        <w:rPr>
          <w:color w:val="000000"/>
        </w:rPr>
      </w:pPr>
    </w:p>
    <w:p w:rsidR="00325A85" w:rsidRDefault="00325A85" w:rsidP="00D227B4">
      <w:pPr>
        <w:rPr>
          <w:color w:val="000000"/>
        </w:rPr>
      </w:pPr>
      <w:r>
        <w:rPr>
          <w:color w:val="000000"/>
        </w:rPr>
        <w:t xml:space="preserve">In order for action to be taken against a person committing </w:t>
      </w:r>
      <w:r w:rsidR="00B2355A">
        <w:rPr>
          <w:color w:val="000000"/>
        </w:rPr>
        <w:t>anti-social</w:t>
      </w:r>
      <w:r>
        <w:rPr>
          <w:color w:val="000000"/>
        </w:rPr>
        <w:t xml:space="preserve"> behaviour, we may ask a complainant to provide evidence of their allegation. Typically, this could include an incident diary or a written statement. This will be determined by the officer investigating the case. </w:t>
      </w:r>
    </w:p>
    <w:p w:rsidR="00325A85" w:rsidRDefault="00325A85" w:rsidP="00325A85">
      <w:pPr>
        <w:shd w:val="clear" w:color="auto" w:fill="FFFFFF"/>
        <w:jc w:val="both"/>
        <w:rPr>
          <w:color w:val="000000"/>
        </w:rPr>
      </w:pPr>
    </w:p>
    <w:p w:rsidR="00D227B4" w:rsidRDefault="00BE2EA1" w:rsidP="003F46B6">
      <w:pPr>
        <w:pStyle w:val="Heading3"/>
      </w:pPr>
      <w:bookmarkStart w:id="10" w:name="_Toc95119910"/>
      <w:r>
        <w:t>Advice – l</w:t>
      </w:r>
      <w:r w:rsidR="00D227B4">
        <w:t>etter/verbal</w:t>
      </w:r>
      <w:bookmarkEnd w:id="10"/>
    </w:p>
    <w:p w:rsidR="00D227B4" w:rsidRDefault="00D227B4" w:rsidP="003F46B6"/>
    <w:p w:rsidR="00D227B4" w:rsidRDefault="00D227B4" w:rsidP="003F46B6">
      <w:r>
        <w:t>Issued to highlight allegations of anti-social behaviour, which have raised concern.</w:t>
      </w:r>
    </w:p>
    <w:p w:rsidR="00D227B4" w:rsidRDefault="00D227B4" w:rsidP="003F46B6"/>
    <w:p w:rsidR="00D227B4" w:rsidRDefault="00D227B4" w:rsidP="003F46B6">
      <w:pPr>
        <w:pStyle w:val="Heading3"/>
      </w:pPr>
      <w:bookmarkStart w:id="11" w:name="_Toc95119911"/>
      <w:r>
        <w:t>Warning</w:t>
      </w:r>
      <w:bookmarkEnd w:id="11"/>
    </w:p>
    <w:p w:rsidR="00D227B4" w:rsidRDefault="00D227B4" w:rsidP="003F46B6"/>
    <w:p w:rsidR="00D227B4" w:rsidRDefault="00D227B4" w:rsidP="003F46B6">
      <w:r>
        <w:t>Issued to highlight a person’s ongoing or more serious involvement in anti-social behaviour and request for this behaviour to stop.</w:t>
      </w:r>
    </w:p>
    <w:p w:rsidR="00D227B4" w:rsidRDefault="00D227B4" w:rsidP="003F46B6"/>
    <w:p w:rsidR="00D227B4" w:rsidRPr="00697181" w:rsidRDefault="00D227B4" w:rsidP="003F46B6">
      <w:pPr>
        <w:pStyle w:val="Heading3"/>
      </w:pPr>
      <w:bookmarkStart w:id="12" w:name="_Toc95119912"/>
      <w:r>
        <w:t>Acceptable behaviour contract</w:t>
      </w:r>
      <w:bookmarkEnd w:id="12"/>
    </w:p>
    <w:p w:rsidR="00D227B4" w:rsidRDefault="00D227B4" w:rsidP="003F46B6">
      <w:pPr>
        <w:rPr>
          <w:szCs w:val="23"/>
        </w:rPr>
      </w:pPr>
    </w:p>
    <w:p w:rsidR="00D227B4" w:rsidRPr="00C6164A" w:rsidRDefault="00D227B4" w:rsidP="003F46B6">
      <w:pPr>
        <w:rPr>
          <w:szCs w:val="23"/>
        </w:rPr>
      </w:pPr>
      <w:r>
        <w:rPr>
          <w:szCs w:val="23"/>
        </w:rPr>
        <w:t xml:space="preserve">Voluntary contract issued to address a person’s </w:t>
      </w:r>
      <w:r>
        <w:t>anti-social behaviour</w:t>
      </w:r>
      <w:r>
        <w:rPr>
          <w:szCs w:val="23"/>
        </w:rPr>
        <w:t xml:space="preserve"> and to support them in stopping this behaviour.</w:t>
      </w:r>
    </w:p>
    <w:p w:rsidR="00D227B4" w:rsidRDefault="00D227B4" w:rsidP="003F46B6">
      <w:pPr>
        <w:rPr>
          <w:szCs w:val="22"/>
        </w:rPr>
      </w:pPr>
    </w:p>
    <w:p w:rsidR="00D227B4" w:rsidRDefault="00D227B4" w:rsidP="003F46B6">
      <w:pPr>
        <w:rPr>
          <w:szCs w:val="22"/>
        </w:rPr>
      </w:pPr>
      <w:r w:rsidRPr="00596145">
        <w:rPr>
          <w:szCs w:val="22"/>
        </w:rPr>
        <w:t>A person can enter the incremental approach at any stage dependant on the severity of the incident reported</w:t>
      </w:r>
      <w:r>
        <w:rPr>
          <w:szCs w:val="22"/>
        </w:rPr>
        <w:t xml:space="preserve"> and/or the timeframe since any previous </w:t>
      </w:r>
      <w:r>
        <w:rPr>
          <w:szCs w:val="22"/>
        </w:rPr>
        <w:lastRenderedPageBreak/>
        <w:t>incidents</w:t>
      </w:r>
      <w:r w:rsidRPr="00596145">
        <w:rPr>
          <w:szCs w:val="22"/>
        </w:rPr>
        <w:t>.</w:t>
      </w:r>
      <w:r>
        <w:rPr>
          <w:szCs w:val="22"/>
        </w:rPr>
        <w:t xml:space="preserve"> In the majority of cases, the officers are guided by a 6 month timeframe when determining the most appropriate stage to enter the tiered approach. </w:t>
      </w:r>
      <w:r w:rsidRPr="00596145">
        <w:rPr>
          <w:szCs w:val="22"/>
        </w:rPr>
        <w:t>If it is deemed to be appropriate, an individual can also be issued with the same sanction on multiple occasions</w:t>
      </w:r>
      <w:r>
        <w:rPr>
          <w:szCs w:val="22"/>
        </w:rPr>
        <w:t>.</w:t>
      </w:r>
    </w:p>
    <w:p w:rsidR="00325A85" w:rsidRPr="00C6164A" w:rsidRDefault="00325A85" w:rsidP="00325A85">
      <w:pPr>
        <w:shd w:val="clear" w:color="auto" w:fill="FFFFFF"/>
        <w:jc w:val="both"/>
        <w:rPr>
          <w:rFonts w:cs="Arial"/>
          <w:lang w:eastAsia="en-GB"/>
        </w:rPr>
      </w:pPr>
    </w:p>
    <w:p w:rsidR="00325A85" w:rsidRPr="00E37B3F" w:rsidRDefault="00325A85" w:rsidP="003F46B6">
      <w:r w:rsidRPr="00E37B3F">
        <w:t>As part of the incremental approach, a Community Protection Warning (CPNW) and/or a Community Protection Notice (CPN) may also be used in conjunction with the above, in accordance with the ASB, Crime and Policing Act 2014. A CPNW and/or a CPN can be issued at any point within the incremental approach as determined by the lead officer.</w:t>
      </w:r>
    </w:p>
    <w:p w:rsidR="00325A85" w:rsidRDefault="00325A85" w:rsidP="00325A85">
      <w:pPr>
        <w:pStyle w:val="Default"/>
        <w:rPr>
          <w:szCs w:val="23"/>
        </w:rPr>
      </w:pPr>
    </w:p>
    <w:p w:rsidR="00325A85" w:rsidRDefault="00325A85" w:rsidP="003F46B6">
      <w:pPr>
        <w:pStyle w:val="Heading3"/>
      </w:pPr>
      <w:bookmarkStart w:id="13" w:name="_Toc95119913"/>
      <w:r w:rsidRPr="00C6164A">
        <w:t>Mediation</w:t>
      </w:r>
      <w:bookmarkEnd w:id="13"/>
      <w:r w:rsidRPr="00C6164A">
        <w:t xml:space="preserve"> </w:t>
      </w:r>
    </w:p>
    <w:p w:rsidR="00325A85" w:rsidRPr="00C6164A" w:rsidRDefault="00325A85" w:rsidP="00325A85">
      <w:pPr>
        <w:pStyle w:val="Default"/>
        <w:rPr>
          <w:b/>
          <w:szCs w:val="23"/>
        </w:rPr>
      </w:pPr>
    </w:p>
    <w:p w:rsidR="00325A85" w:rsidRDefault="00E54699" w:rsidP="003F46B6">
      <w:r>
        <w:t xml:space="preserve">Hinckley &amp; </w:t>
      </w:r>
      <w:r w:rsidR="00325A85" w:rsidRPr="00C6164A">
        <w:t>Bosworth Borough Council has a number of trained mediators who can facilitate mediation between complainants. Mediation is not applicable in all circumstances.</w:t>
      </w:r>
    </w:p>
    <w:p w:rsidR="00325A85" w:rsidRPr="00C6164A" w:rsidRDefault="00325A85" w:rsidP="00325A85">
      <w:pPr>
        <w:pStyle w:val="Default"/>
        <w:rPr>
          <w:szCs w:val="23"/>
        </w:rPr>
      </w:pPr>
    </w:p>
    <w:p w:rsidR="00325A85" w:rsidRDefault="00325A85" w:rsidP="003F46B6">
      <w:pPr>
        <w:pStyle w:val="Heading3"/>
      </w:pPr>
      <w:bookmarkStart w:id="14" w:name="_Toc95119914"/>
      <w:r w:rsidRPr="00C6164A">
        <w:t>Enforcement</w:t>
      </w:r>
      <w:bookmarkEnd w:id="14"/>
    </w:p>
    <w:p w:rsidR="00325A85" w:rsidRPr="00C6164A" w:rsidRDefault="00325A85" w:rsidP="00325A85">
      <w:pPr>
        <w:pStyle w:val="Default"/>
        <w:rPr>
          <w:b/>
          <w:szCs w:val="23"/>
        </w:rPr>
      </w:pPr>
    </w:p>
    <w:p w:rsidR="00325A85" w:rsidRPr="00C6164A" w:rsidRDefault="00325A85" w:rsidP="003F46B6">
      <w:r w:rsidRPr="00C6164A">
        <w:t>Enforcement action is sometimes the only measure available</w:t>
      </w:r>
      <w:r>
        <w:t xml:space="preserve"> to the c</w:t>
      </w:r>
      <w:r w:rsidRPr="00C6164A">
        <w:t xml:space="preserve">ouncil to prevent further anti-social behaviour. </w:t>
      </w:r>
    </w:p>
    <w:p w:rsidR="00325A85" w:rsidRPr="00C6164A" w:rsidRDefault="00325A85" w:rsidP="00325A85">
      <w:pPr>
        <w:pStyle w:val="Default"/>
        <w:rPr>
          <w:szCs w:val="23"/>
        </w:rPr>
      </w:pPr>
    </w:p>
    <w:p w:rsidR="00325A85" w:rsidRPr="00C6164A" w:rsidRDefault="00325A85" w:rsidP="003F46B6">
      <w:r>
        <w:t xml:space="preserve">There are a number of legal </w:t>
      </w:r>
      <w:r w:rsidRPr="00C6164A">
        <w:t>sanctions the council is able to utilise to legally challenge a person causing anti-social behaviour. This list is not exhaustive but includes:</w:t>
      </w:r>
    </w:p>
    <w:p w:rsidR="00325A85" w:rsidRPr="00C6164A" w:rsidRDefault="00325A85" w:rsidP="003F46B6"/>
    <w:p w:rsidR="00325A85" w:rsidRPr="00C6164A" w:rsidRDefault="00325A85" w:rsidP="003F46B6">
      <w:pPr>
        <w:pStyle w:val="ListParagraph"/>
        <w:numPr>
          <w:ilvl w:val="0"/>
          <w:numId w:val="9"/>
        </w:numPr>
      </w:pPr>
      <w:r>
        <w:t>I</w:t>
      </w:r>
      <w:r w:rsidRPr="00C6164A">
        <w:t>njunction</w:t>
      </w:r>
    </w:p>
    <w:p w:rsidR="00325A85" w:rsidRDefault="00325A85" w:rsidP="003F46B6">
      <w:pPr>
        <w:pStyle w:val="ListParagraph"/>
        <w:numPr>
          <w:ilvl w:val="0"/>
          <w:numId w:val="9"/>
        </w:numPr>
      </w:pPr>
      <w:r w:rsidRPr="00C6164A">
        <w:t>Community Protection Notice</w:t>
      </w:r>
    </w:p>
    <w:p w:rsidR="00325A85" w:rsidRPr="00C6164A" w:rsidRDefault="00325A85" w:rsidP="003F46B6">
      <w:pPr>
        <w:pStyle w:val="ListParagraph"/>
        <w:numPr>
          <w:ilvl w:val="0"/>
          <w:numId w:val="9"/>
        </w:numPr>
      </w:pPr>
      <w:r>
        <w:t>Closure Order</w:t>
      </w:r>
    </w:p>
    <w:p w:rsidR="00325A85" w:rsidRPr="00966B96" w:rsidRDefault="00325A85" w:rsidP="003F46B6">
      <w:pPr>
        <w:pStyle w:val="ListParagraph"/>
        <w:numPr>
          <w:ilvl w:val="0"/>
          <w:numId w:val="9"/>
        </w:numPr>
      </w:pPr>
      <w:r w:rsidRPr="00C6164A">
        <w:t>Noise Abatement Notice</w:t>
      </w:r>
    </w:p>
    <w:p w:rsidR="00325A85" w:rsidRDefault="00325A85" w:rsidP="003F46B6">
      <w:pPr>
        <w:pStyle w:val="ListParagraph"/>
        <w:numPr>
          <w:ilvl w:val="0"/>
          <w:numId w:val="9"/>
        </w:numPr>
      </w:pPr>
      <w:r w:rsidRPr="00C6164A">
        <w:t>Possession proceedings (further information is detailed below)</w:t>
      </w:r>
      <w:r>
        <w:t xml:space="preserve"> </w:t>
      </w:r>
    </w:p>
    <w:p w:rsidR="00325A85" w:rsidRDefault="00325A85" w:rsidP="00325A85">
      <w:pPr>
        <w:pStyle w:val="Default"/>
        <w:rPr>
          <w:szCs w:val="23"/>
        </w:rPr>
      </w:pPr>
    </w:p>
    <w:p w:rsidR="00325A85" w:rsidRDefault="00325A85" w:rsidP="003F46B6">
      <w:r>
        <w:t>The council will also work in partnership with the police to consider criminal sanctions where appropriate.</w:t>
      </w:r>
    </w:p>
    <w:p w:rsidR="00325A85" w:rsidRDefault="00325A85" w:rsidP="00325A85">
      <w:pPr>
        <w:pStyle w:val="Default"/>
        <w:rPr>
          <w:b/>
          <w:szCs w:val="23"/>
        </w:rPr>
      </w:pPr>
    </w:p>
    <w:p w:rsidR="00325A85" w:rsidRPr="00C6164A" w:rsidRDefault="00325A85" w:rsidP="003F46B6">
      <w:pPr>
        <w:pStyle w:val="Heading3"/>
      </w:pPr>
      <w:bookmarkStart w:id="15" w:name="_Toc95119915"/>
      <w:r w:rsidRPr="00C6164A">
        <w:t xml:space="preserve">Neighbour </w:t>
      </w:r>
      <w:r w:rsidR="00BE2EA1">
        <w:t>d</w:t>
      </w:r>
      <w:r w:rsidRPr="00C6164A">
        <w:t>isputes</w:t>
      </w:r>
      <w:bookmarkEnd w:id="15"/>
    </w:p>
    <w:p w:rsidR="00325A85" w:rsidRPr="00C6164A" w:rsidRDefault="00325A85" w:rsidP="00325A85">
      <w:pPr>
        <w:pStyle w:val="Default"/>
        <w:rPr>
          <w:szCs w:val="23"/>
        </w:rPr>
      </w:pPr>
    </w:p>
    <w:p w:rsidR="00325A85" w:rsidRDefault="00325A85" w:rsidP="003F46B6">
      <w:r w:rsidRPr="00C6164A">
        <w:t xml:space="preserve">Not all neighbour disputes should be dealt with as anti-social behaviour. Depending on the circumstances of a complaint, a complainant may be advised </w:t>
      </w:r>
      <w:r>
        <w:t>to get their own legal advic</w:t>
      </w:r>
      <w:r w:rsidRPr="00C6164A">
        <w:t>e in relation to their complaint.</w:t>
      </w:r>
    </w:p>
    <w:p w:rsidR="00325A85" w:rsidRDefault="00325A85" w:rsidP="00325A85">
      <w:pPr>
        <w:pStyle w:val="Default"/>
        <w:jc w:val="both"/>
        <w:rPr>
          <w:szCs w:val="23"/>
        </w:rPr>
      </w:pPr>
    </w:p>
    <w:p w:rsidR="00325A85" w:rsidRPr="00630AE7" w:rsidRDefault="00325A85" w:rsidP="003F46B6">
      <w:pPr>
        <w:pStyle w:val="Heading3"/>
      </w:pPr>
      <w:bookmarkStart w:id="16" w:name="_Toc95119916"/>
      <w:r w:rsidRPr="00630AE7">
        <w:t>Insufficient evidence to proceed</w:t>
      </w:r>
      <w:bookmarkEnd w:id="16"/>
    </w:p>
    <w:p w:rsidR="00325A85" w:rsidRDefault="00325A85" w:rsidP="00325A85">
      <w:pPr>
        <w:pStyle w:val="Default"/>
        <w:rPr>
          <w:sz w:val="22"/>
          <w:szCs w:val="22"/>
        </w:rPr>
      </w:pPr>
    </w:p>
    <w:p w:rsidR="00325A85" w:rsidRDefault="00325A85" w:rsidP="003F46B6">
      <w:r>
        <w:t xml:space="preserve">During the course of an investigation there may be a number of reasons why an investigating officer cannot take action. </w:t>
      </w:r>
    </w:p>
    <w:p w:rsidR="00325A85" w:rsidRDefault="00325A85" w:rsidP="00325A85">
      <w:pPr>
        <w:pStyle w:val="Default"/>
        <w:rPr>
          <w:sz w:val="22"/>
          <w:szCs w:val="22"/>
        </w:rPr>
      </w:pPr>
    </w:p>
    <w:p w:rsidR="00325A85" w:rsidRDefault="00325A85" w:rsidP="00325A85">
      <w:pPr>
        <w:pStyle w:val="Default"/>
        <w:rPr>
          <w:sz w:val="22"/>
          <w:szCs w:val="22"/>
        </w:rPr>
      </w:pPr>
      <w:r>
        <w:rPr>
          <w:sz w:val="22"/>
          <w:szCs w:val="22"/>
        </w:rPr>
        <w:t xml:space="preserve">Reasons may include; </w:t>
      </w:r>
    </w:p>
    <w:p w:rsidR="00325A85" w:rsidRDefault="00325A85" w:rsidP="00325A85">
      <w:pPr>
        <w:pStyle w:val="Default"/>
        <w:rPr>
          <w:sz w:val="22"/>
          <w:szCs w:val="22"/>
        </w:rPr>
      </w:pPr>
    </w:p>
    <w:p w:rsidR="00325A85" w:rsidRDefault="00325A85" w:rsidP="00325A85">
      <w:pPr>
        <w:pStyle w:val="Default"/>
        <w:numPr>
          <w:ilvl w:val="0"/>
          <w:numId w:val="5"/>
        </w:numPr>
        <w:spacing w:after="26"/>
        <w:rPr>
          <w:sz w:val="22"/>
          <w:szCs w:val="22"/>
        </w:rPr>
      </w:pPr>
      <w:r>
        <w:rPr>
          <w:sz w:val="22"/>
          <w:szCs w:val="22"/>
        </w:rPr>
        <w:t xml:space="preserve">Establishing that the incident did not happen or was malicious  </w:t>
      </w:r>
    </w:p>
    <w:p w:rsidR="00325A85" w:rsidRDefault="00325A85" w:rsidP="00325A85">
      <w:pPr>
        <w:pStyle w:val="Default"/>
        <w:numPr>
          <w:ilvl w:val="0"/>
          <w:numId w:val="5"/>
        </w:numPr>
        <w:spacing w:after="26"/>
        <w:rPr>
          <w:sz w:val="22"/>
          <w:szCs w:val="22"/>
        </w:rPr>
      </w:pPr>
      <w:r>
        <w:rPr>
          <w:sz w:val="22"/>
          <w:szCs w:val="22"/>
        </w:rPr>
        <w:t xml:space="preserve">Insufficient evidence to prove the matter to the relevant standard of proof </w:t>
      </w:r>
    </w:p>
    <w:p w:rsidR="00325A85" w:rsidRDefault="00325A85" w:rsidP="00325A85">
      <w:pPr>
        <w:pStyle w:val="Default"/>
        <w:numPr>
          <w:ilvl w:val="0"/>
          <w:numId w:val="5"/>
        </w:numPr>
        <w:spacing w:after="26"/>
        <w:rPr>
          <w:sz w:val="22"/>
          <w:szCs w:val="22"/>
        </w:rPr>
      </w:pPr>
      <w:r>
        <w:rPr>
          <w:sz w:val="22"/>
          <w:szCs w:val="22"/>
        </w:rPr>
        <w:lastRenderedPageBreak/>
        <w:t xml:space="preserve">Lack of cooperation from the complainant, or evidence supplied  </w:t>
      </w:r>
    </w:p>
    <w:p w:rsidR="00325A85" w:rsidRDefault="00325A85" w:rsidP="00325A85">
      <w:pPr>
        <w:pStyle w:val="Default"/>
        <w:numPr>
          <w:ilvl w:val="0"/>
          <w:numId w:val="5"/>
        </w:numPr>
        <w:rPr>
          <w:sz w:val="22"/>
          <w:szCs w:val="22"/>
        </w:rPr>
      </w:pPr>
      <w:r>
        <w:rPr>
          <w:sz w:val="22"/>
          <w:szCs w:val="22"/>
        </w:rPr>
        <w:t xml:space="preserve">The </w:t>
      </w:r>
      <w:r w:rsidR="001B4392">
        <w:rPr>
          <w:sz w:val="22"/>
          <w:szCs w:val="22"/>
        </w:rPr>
        <w:t>anti-social</w:t>
      </w:r>
      <w:r>
        <w:rPr>
          <w:sz w:val="22"/>
          <w:szCs w:val="22"/>
        </w:rPr>
        <w:t xml:space="preserve"> behaviour has ceased and the likelihood of a repeat incident is low</w:t>
      </w:r>
    </w:p>
    <w:p w:rsidR="00325A85" w:rsidRDefault="00325A85" w:rsidP="00325A85">
      <w:pPr>
        <w:pStyle w:val="Default"/>
        <w:numPr>
          <w:ilvl w:val="0"/>
          <w:numId w:val="5"/>
        </w:numPr>
        <w:rPr>
          <w:sz w:val="22"/>
          <w:szCs w:val="22"/>
        </w:rPr>
      </w:pPr>
      <w:r>
        <w:rPr>
          <w:sz w:val="22"/>
          <w:szCs w:val="22"/>
        </w:rPr>
        <w:t xml:space="preserve">There are mitigating circumstances with regards to the perpetrators of the </w:t>
      </w:r>
      <w:r w:rsidR="001B4392">
        <w:rPr>
          <w:sz w:val="22"/>
          <w:szCs w:val="22"/>
        </w:rPr>
        <w:t>anti-social</w:t>
      </w:r>
      <w:r>
        <w:rPr>
          <w:sz w:val="22"/>
          <w:szCs w:val="22"/>
        </w:rPr>
        <w:t xml:space="preserve"> behaviour</w:t>
      </w:r>
    </w:p>
    <w:p w:rsidR="00325A85" w:rsidRDefault="00325A85" w:rsidP="00325A85">
      <w:pPr>
        <w:pStyle w:val="Default"/>
        <w:rPr>
          <w:sz w:val="22"/>
          <w:szCs w:val="22"/>
        </w:rPr>
      </w:pPr>
    </w:p>
    <w:p w:rsidR="00325A85" w:rsidRPr="00C6164A" w:rsidRDefault="00325A85" w:rsidP="00325A85">
      <w:pPr>
        <w:pStyle w:val="Default"/>
        <w:jc w:val="both"/>
        <w:rPr>
          <w:szCs w:val="23"/>
        </w:rPr>
      </w:pPr>
      <w:r>
        <w:rPr>
          <w:sz w:val="22"/>
          <w:szCs w:val="22"/>
        </w:rPr>
        <w:t>The investigating officer will inform the complainant at the earliest opportunity if they determine that they cannot take further action and they will close the case.</w:t>
      </w:r>
    </w:p>
    <w:p w:rsidR="00325A85" w:rsidRPr="00C6164A" w:rsidRDefault="00325A85" w:rsidP="00325A85">
      <w:pPr>
        <w:pStyle w:val="Default"/>
        <w:rPr>
          <w:szCs w:val="23"/>
        </w:rPr>
      </w:pPr>
    </w:p>
    <w:p w:rsidR="00325A85" w:rsidRPr="00C6164A" w:rsidRDefault="00325A85" w:rsidP="00325A85">
      <w:pPr>
        <w:pStyle w:val="Default"/>
        <w:rPr>
          <w:szCs w:val="23"/>
        </w:rPr>
      </w:pPr>
      <w:r w:rsidRPr="00C6164A">
        <w:rPr>
          <w:szCs w:val="23"/>
        </w:rPr>
        <w:t xml:space="preserve"> </w:t>
      </w:r>
    </w:p>
    <w:p w:rsidR="00325A85" w:rsidRPr="00B1245C" w:rsidRDefault="00325A85" w:rsidP="00B1245C">
      <w:pPr>
        <w:pStyle w:val="Heading2"/>
      </w:pPr>
      <w:bookmarkStart w:id="17" w:name="_Toc95119917"/>
      <w:r w:rsidRPr="00B1245C">
        <w:t>7. Anti-</w:t>
      </w:r>
      <w:r w:rsidR="00BE2EA1">
        <w:t>s</w:t>
      </w:r>
      <w:r w:rsidRPr="00B1245C">
        <w:t xml:space="preserve">ocial </w:t>
      </w:r>
      <w:r w:rsidR="00BE2EA1">
        <w:t>b</w:t>
      </w:r>
      <w:r w:rsidRPr="00B1245C">
        <w:t>ehaviour caused by council tenants.</w:t>
      </w:r>
      <w:bookmarkEnd w:id="17"/>
    </w:p>
    <w:p w:rsidR="00325A85" w:rsidRPr="00C6164A" w:rsidRDefault="00325A85" w:rsidP="00325A85">
      <w:pPr>
        <w:pStyle w:val="Default"/>
        <w:rPr>
          <w:szCs w:val="23"/>
        </w:rPr>
      </w:pPr>
    </w:p>
    <w:p w:rsidR="00325A85" w:rsidRDefault="00325A85" w:rsidP="00B1245C">
      <w:pPr>
        <w:pStyle w:val="Heading3"/>
      </w:pPr>
      <w:bookmarkStart w:id="18" w:name="_Toc95119918"/>
      <w:r w:rsidRPr="00C6164A">
        <w:t>Responsibilities</w:t>
      </w:r>
      <w:r>
        <w:t xml:space="preserve"> of the </w:t>
      </w:r>
      <w:r w:rsidR="00BE2EA1">
        <w:t>t</w:t>
      </w:r>
      <w:r w:rsidRPr="00C6164A">
        <w:t>enant</w:t>
      </w:r>
      <w:bookmarkEnd w:id="18"/>
    </w:p>
    <w:p w:rsidR="00325A85" w:rsidRPr="00C6164A" w:rsidRDefault="00325A85" w:rsidP="00325A85">
      <w:pPr>
        <w:pStyle w:val="Default"/>
        <w:rPr>
          <w:b/>
          <w:szCs w:val="23"/>
        </w:rPr>
      </w:pPr>
    </w:p>
    <w:p w:rsidR="00325A85" w:rsidRDefault="00325A85" w:rsidP="00B1245C">
      <w:pPr>
        <w:rPr>
          <w:b/>
        </w:rPr>
      </w:pPr>
      <w:r w:rsidRPr="00C6164A">
        <w:t xml:space="preserve">The tenancy agreement clearly states that a tenant will not </w:t>
      </w:r>
      <w:r>
        <w:t>cause nuisance or annoyance or allow it to be caused at the property</w:t>
      </w:r>
      <w:r w:rsidRPr="00C6164A">
        <w:t>. By signing the tenancy agreement the tenant has effectively said they will not cause any anti-social behaviour at their property or allow their visitors to cause any ant</w:t>
      </w:r>
      <w:r>
        <w:t>i</w:t>
      </w:r>
      <w:r w:rsidRPr="00C6164A">
        <w:t xml:space="preserve">-social behaviour. </w:t>
      </w:r>
    </w:p>
    <w:p w:rsidR="00325A85" w:rsidRPr="00C6164A" w:rsidRDefault="00325A85" w:rsidP="00325A85">
      <w:pPr>
        <w:pStyle w:val="Default"/>
        <w:rPr>
          <w:b/>
          <w:szCs w:val="23"/>
        </w:rPr>
      </w:pPr>
    </w:p>
    <w:p w:rsidR="00325A85" w:rsidRDefault="00325A85" w:rsidP="00B1245C">
      <w:pPr>
        <w:pStyle w:val="Heading3"/>
      </w:pPr>
      <w:bookmarkStart w:id="19" w:name="_Toc95119919"/>
      <w:r w:rsidRPr="00C6164A">
        <w:t xml:space="preserve">Responsibilities </w:t>
      </w:r>
      <w:r>
        <w:t>o</w:t>
      </w:r>
      <w:r w:rsidRPr="00C6164A">
        <w:t xml:space="preserve">f </w:t>
      </w:r>
      <w:r>
        <w:t>t</w:t>
      </w:r>
      <w:r w:rsidRPr="00C6164A">
        <w:t xml:space="preserve">he </w:t>
      </w:r>
      <w:r w:rsidR="00BE2EA1">
        <w:t>l</w:t>
      </w:r>
      <w:r w:rsidRPr="00C6164A">
        <w:t>andlord</w:t>
      </w:r>
      <w:bookmarkEnd w:id="19"/>
    </w:p>
    <w:p w:rsidR="00325A85" w:rsidRPr="00C6164A" w:rsidRDefault="00325A85" w:rsidP="00325A85">
      <w:pPr>
        <w:pStyle w:val="Default"/>
        <w:rPr>
          <w:b/>
          <w:szCs w:val="23"/>
        </w:rPr>
      </w:pPr>
    </w:p>
    <w:p w:rsidR="00325A85" w:rsidRPr="00C6164A" w:rsidRDefault="00E54699" w:rsidP="00B1245C">
      <w:r>
        <w:t xml:space="preserve">Hinckley &amp; </w:t>
      </w:r>
      <w:r w:rsidR="00325A85" w:rsidRPr="00C6164A">
        <w:t xml:space="preserve">Bosworth Borough Council will not tolerate persistent anti-social behaviour or nuisance caused by its tenants. There are a number of measures the </w:t>
      </w:r>
      <w:r w:rsidR="00325A85">
        <w:t>c</w:t>
      </w:r>
      <w:r w:rsidR="00325A85" w:rsidRPr="00C6164A">
        <w:t>ouncil would look to take in line with the incremental approach to ensure that those tenants causing anti-social behaviour are effectively dealt with.</w:t>
      </w:r>
    </w:p>
    <w:p w:rsidR="00325A85" w:rsidRPr="00C6164A" w:rsidRDefault="00325A85" w:rsidP="00325A85">
      <w:pPr>
        <w:pStyle w:val="text"/>
        <w:spacing w:before="0" w:beforeAutospacing="0" w:after="0" w:afterAutospacing="0"/>
        <w:rPr>
          <w:color w:val="000000"/>
        </w:rPr>
      </w:pPr>
      <w:r w:rsidRPr="00C6164A">
        <w:rPr>
          <w:color w:val="000000"/>
        </w:rPr>
        <w:t xml:space="preserve"> </w:t>
      </w:r>
    </w:p>
    <w:p w:rsidR="00325A85" w:rsidRDefault="00325A85" w:rsidP="00B1245C">
      <w:pPr>
        <w:pStyle w:val="Heading3"/>
      </w:pPr>
      <w:bookmarkStart w:id="20" w:name="_Toc95119920"/>
      <w:r w:rsidRPr="00C6164A">
        <w:t xml:space="preserve">Possession </w:t>
      </w:r>
      <w:r w:rsidR="00BE2EA1">
        <w:t>p</w:t>
      </w:r>
      <w:r w:rsidRPr="00C6164A">
        <w:t>roceedings</w:t>
      </w:r>
      <w:bookmarkEnd w:id="20"/>
    </w:p>
    <w:p w:rsidR="00325A85" w:rsidRPr="00C6164A" w:rsidRDefault="00325A85" w:rsidP="00325A85">
      <w:pPr>
        <w:pStyle w:val="Default"/>
        <w:rPr>
          <w:b/>
          <w:szCs w:val="23"/>
        </w:rPr>
      </w:pPr>
    </w:p>
    <w:p w:rsidR="00325A85" w:rsidRDefault="00325A85" w:rsidP="00B1245C">
      <w:r w:rsidRPr="00C6164A">
        <w:t>In some circumstances, a tenant will continue to cause anti-social behaviour despite warnings and other interventions. I</w:t>
      </w:r>
      <w:r>
        <w:t>n these rare circumstances the c</w:t>
      </w:r>
      <w:r w:rsidRPr="00C6164A">
        <w:t xml:space="preserve">ouncil may look to </w:t>
      </w:r>
      <w:r>
        <w:t>take action against a</w:t>
      </w:r>
      <w:r w:rsidRPr="00C6164A">
        <w:t xml:space="preserve"> person’s home. Possession proceedings are always a last resort.</w:t>
      </w:r>
    </w:p>
    <w:p w:rsidR="00325A85" w:rsidRDefault="00325A85" w:rsidP="00325A85">
      <w:pPr>
        <w:pStyle w:val="Default"/>
        <w:rPr>
          <w:b/>
          <w:szCs w:val="23"/>
        </w:rPr>
      </w:pPr>
    </w:p>
    <w:p w:rsidR="00325A85" w:rsidRDefault="00BE2EA1" w:rsidP="00B1245C">
      <w:pPr>
        <w:pStyle w:val="Heading3"/>
      </w:pPr>
      <w:bookmarkStart w:id="21" w:name="_Toc95119921"/>
      <w:r>
        <w:t>Introductory t</w:t>
      </w:r>
      <w:r w:rsidR="00325A85" w:rsidRPr="00C6164A">
        <w:t>enancies</w:t>
      </w:r>
      <w:bookmarkEnd w:id="21"/>
      <w:r w:rsidR="00325A85" w:rsidRPr="00C6164A">
        <w:t xml:space="preserve"> </w:t>
      </w:r>
    </w:p>
    <w:p w:rsidR="00325A85" w:rsidRPr="00C6164A" w:rsidRDefault="00325A85" w:rsidP="00325A85">
      <w:pPr>
        <w:pStyle w:val="Default"/>
        <w:rPr>
          <w:b/>
          <w:szCs w:val="23"/>
        </w:rPr>
      </w:pPr>
    </w:p>
    <w:p w:rsidR="00325A85" w:rsidRPr="00C6164A" w:rsidRDefault="00325A85" w:rsidP="00B1245C">
      <w:r w:rsidRPr="00C6164A">
        <w:t>I</w:t>
      </w:r>
      <w:r>
        <w:t>n some circumstances the c</w:t>
      </w:r>
      <w:r w:rsidRPr="00C6164A">
        <w:t>ouncil will take action to</w:t>
      </w:r>
      <w:r>
        <w:t xml:space="preserve"> either extend an introductory tenancy or end</w:t>
      </w:r>
      <w:r w:rsidRPr="00C6164A">
        <w:t xml:space="preserve"> an introductory tenancy due to reports of anti-social behaviour caused by its tenant.  </w:t>
      </w:r>
    </w:p>
    <w:p w:rsidR="00325A85" w:rsidRPr="00C6164A" w:rsidRDefault="00325A85" w:rsidP="00325A85">
      <w:pPr>
        <w:pStyle w:val="Default"/>
        <w:rPr>
          <w:szCs w:val="23"/>
        </w:rPr>
      </w:pPr>
    </w:p>
    <w:p w:rsidR="00325A85" w:rsidRDefault="00BE2EA1" w:rsidP="00B1245C">
      <w:pPr>
        <w:pStyle w:val="Heading3"/>
      </w:pPr>
      <w:bookmarkStart w:id="22" w:name="_Toc95119922"/>
      <w:r>
        <w:t>Demoted t</w:t>
      </w:r>
      <w:r w:rsidR="00325A85" w:rsidRPr="00C6164A">
        <w:t>enancies</w:t>
      </w:r>
      <w:bookmarkEnd w:id="22"/>
    </w:p>
    <w:p w:rsidR="00325A85" w:rsidRPr="00C6164A" w:rsidRDefault="00325A85" w:rsidP="00325A85">
      <w:pPr>
        <w:pStyle w:val="Default"/>
        <w:rPr>
          <w:b/>
          <w:szCs w:val="23"/>
        </w:rPr>
      </w:pPr>
    </w:p>
    <w:p w:rsidR="00325A85" w:rsidRDefault="00325A85" w:rsidP="00B1245C">
      <w:r w:rsidRPr="00C6164A">
        <w:t xml:space="preserve">In </w:t>
      </w:r>
      <w:r>
        <w:t>some circumstances the c</w:t>
      </w:r>
      <w:r w:rsidRPr="00C6164A">
        <w:t>ouncil will look to demote a tenant(s) security of tenure to introductory status if they are responsible for anti-social behaviour occurring at their address</w:t>
      </w:r>
      <w:r>
        <w:t>.</w:t>
      </w:r>
    </w:p>
    <w:p w:rsidR="00325A85" w:rsidRPr="00C6164A" w:rsidRDefault="00325A85" w:rsidP="00325A85">
      <w:pPr>
        <w:pStyle w:val="Default"/>
        <w:jc w:val="both"/>
        <w:rPr>
          <w:szCs w:val="23"/>
        </w:rPr>
      </w:pPr>
      <w:r w:rsidRPr="00C6164A">
        <w:rPr>
          <w:szCs w:val="23"/>
        </w:rPr>
        <w:t xml:space="preserve"> </w:t>
      </w:r>
    </w:p>
    <w:p w:rsidR="00325A85" w:rsidRDefault="00325A85" w:rsidP="00B1245C">
      <w:pPr>
        <w:pStyle w:val="Heading3"/>
      </w:pPr>
      <w:bookmarkStart w:id="23" w:name="_Toc95119923"/>
      <w:r w:rsidRPr="00C6164A">
        <w:t xml:space="preserve">Mandatory </w:t>
      </w:r>
      <w:r w:rsidR="00BE2EA1">
        <w:t>r</w:t>
      </w:r>
      <w:r w:rsidRPr="00C6164A">
        <w:t xml:space="preserve">oute </w:t>
      </w:r>
      <w:r>
        <w:t>for</w:t>
      </w:r>
      <w:r w:rsidRPr="00C6164A">
        <w:t xml:space="preserve"> </w:t>
      </w:r>
      <w:r w:rsidR="00BE2EA1">
        <w:t>p</w:t>
      </w:r>
      <w:r w:rsidRPr="00C6164A">
        <w:t>ossession</w:t>
      </w:r>
      <w:bookmarkEnd w:id="23"/>
    </w:p>
    <w:p w:rsidR="00325A85" w:rsidRPr="00C6164A" w:rsidRDefault="00325A85" w:rsidP="00325A85">
      <w:pPr>
        <w:pStyle w:val="Default"/>
        <w:rPr>
          <w:b/>
          <w:szCs w:val="23"/>
        </w:rPr>
      </w:pPr>
    </w:p>
    <w:p w:rsidR="00325A85" w:rsidRDefault="00325A85" w:rsidP="00B1245C">
      <w:r w:rsidRPr="00C6164A">
        <w:lastRenderedPageBreak/>
        <w:t xml:space="preserve">In some circumstances Hinckley </w:t>
      </w:r>
      <w:r w:rsidR="00B2355A">
        <w:t>&amp;</w:t>
      </w:r>
      <w:r w:rsidRPr="00C6164A">
        <w:t xml:space="preserve"> Bosworth Borough Council may look to commence possession proceedings against a person’s home</w:t>
      </w:r>
      <w:r>
        <w:t xml:space="preserve"> under the mandatory route</w:t>
      </w:r>
      <w:r w:rsidRPr="00C6164A">
        <w:t xml:space="preserve"> when other measures within the incremental approach have not been taken. These circumstances include </w:t>
      </w:r>
      <w:r>
        <w:t>circumstances in which one of the</w:t>
      </w:r>
      <w:r w:rsidRPr="00C6164A">
        <w:t xml:space="preserve"> following</w:t>
      </w:r>
      <w:r>
        <w:t xml:space="preserve"> conditions is met, although the c</w:t>
      </w:r>
      <w:r w:rsidRPr="00C6164A">
        <w:t>ouncil reserves the right to use dis</w:t>
      </w:r>
      <w:r>
        <w:t>cretion on a case by case basis:</w:t>
      </w:r>
    </w:p>
    <w:p w:rsidR="00325A85" w:rsidRPr="003539F1" w:rsidRDefault="00325A85" w:rsidP="00325A85">
      <w:pPr>
        <w:pStyle w:val="Default"/>
        <w:rPr>
          <w:szCs w:val="23"/>
        </w:rPr>
      </w:pPr>
    </w:p>
    <w:p w:rsidR="00325A85" w:rsidRPr="003539F1" w:rsidRDefault="00325A85" w:rsidP="00B1245C">
      <w:pPr>
        <w:rPr>
          <w:lang w:eastAsia="en-GB"/>
        </w:rPr>
      </w:pPr>
      <w:r w:rsidRPr="00B1245C">
        <w:rPr>
          <w:b/>
          <w:lang w:eastAsia="en-GB"/>
        </w:rPr>
        <w:t>Condition 1</w:t>
      </w:r>
      <w:r w:rsidRPr="003539F1">
        <w:rPr>
          <w:lang w:eastAsia="en-GB"/>
        </w:rPr>
        <w:t xml:space="preserve"> </w:t>
      </w:r>
      <w:r>
        <w:rPr>
          <w:lang w:eastAsia="en-GB"/>
        </w:rPr>
        <w:t xml:space="preserve">- </w:t>
      </w:r>
      <w:r w:rsidRPr="003539F1">
        <w:rPr>
          <w:lang w:eastAsia="en-GB"/>
        </w:rPr>
        <w:t xml:space="preserve">Conviction of </w:t>
      </w:r>
      <w:r w:rsidR="00BE2EA1">
        <w:rPr>
          <w:lang w:eastAsia="en-GB"/>
        </w:rPr>
        <w:t>s</w:t>
      </w:r>
      <w:r w:rsidRPr="003539F1">
        <w:rPr>
          <w:lang w:eastAsia="en-GB"/>
        </w:rPr>
        <w:t xml:space="preserve">erious </w:t>
      </w:r>
      <w:r w:rsidR="00BE2EA1">
        <w:rPr>
          <w:lang w:eastAsia="en-GB"/>
        </w:rPr>
        <w:t>o</w:t>
      </w:r>
      <w:r w:rsidRPr="003539F1">
        <w:rPr>
          <w:lang w:eastAsia="en-GB"/>
        </w:rPr>
        <w:t>ffence</w:t>
      </w:r>
    </w:p>
    <w:p w:rsidR="00325A85" w:rsidRPr="005F3D9E" w:rsidRDefault="00325A85" w:rsidP="00B1245C">
      <w:pPr>
        <w:rPr>
          <w:rFonts w:cs="Arial"/>
          <w:sz w:val="22"/>
          <w:szCs w:val="22"/>
        </w:rPr>
      </w:pPr>
    </w:p>
    <w:p w:rsidR="00325A85" w:rsidRPr="007F26FB" w:rsidRDefault="00325A85" w:rsidP="00B1245C">
      <w:pPr>
        <w:rPr>
          <w:rFonts w:cs="Arial"/>
        </w:rPr>
      </w:pPr>
      <w:r w:rsidRPr="00B1245C">
        <w:rPr>
          <w:rFonts w:cs="Arial"/>
          <w:b/>
        </w:rPr>
        <w:t>Condition 2</w:t>
      </w:r>
      <w:r>
        <w:rPr>
          <w:rFonts w:cs="Arial"/>
        </w:rPr>
        <w:t xml:space="preserve"> -</w:t>
      </w:r>
      <w:r w:rsidRPr="007F26FB">
        <w:rPr>
          <w:rFonts w:cs="Arial"/>
        </w:rPr>
        <w:t> Breach of an ASB injunction – the tenant or person residing with or visiting the property has breached an ASB injunction.  The breach complained of must occur in the locality of the property or elsewhere if the affected person resides in the</w:t>
      </w:r>
      <w:r>
        <w:rPr>
          <w:rFonts w:cs="Arial"/>
        </w:rPr>
        <w:t xml:space="preserve"> locality or the breach complained of</w:t>
      </w:r>
      <w:r w:rsidRPr="007F26FB">
        <w:rPr>
          <w:rFonts w:cs="Arial"/>
        </w:rPr>
        <w:t xml:space="preserve"> is against an employee of the landlord in connection with or directly or indirectly related to or affecting the landlords housing management function. </w:t>
      </w:r>
    </w:p>
    <w:p w:rsidR="00325A85" w:rsidRPr="007F26FB" w:rsidRDefault="00325A85" w:rsidP="00B1245C">
      <w:pPr>
        <w:rPr>
          <w:rFonts w:cs="Arial"/>
        </w:rPr>
      </w:pPr>
    </w:p>
    <w:p w:rsidR="00325A85" w:rsidRPr="007F26FB" w:rsidRDefault="00325A85" w:rsidP="00B1245C">
      <w:pPr>
        <w:rPr>
          <w:rFonts w:cs="Arial"/>
        </w:rPr>
      </w:pPr>
      <w:r w:rsidRPr="00B1245C">
        <w:rPr>
          <w:rFonts w:cs="Arial"/>
          <w:b/>
        </w:rPr>
        <w:t>Condition 3</w:t>
      </w:r>
      <w:r>
        <w:rPr>
          <w:rFonts w:cs="Arial"/>
        </w:rPr>
        <w:t xml:space="preserve"> – B</w:t>
      </w:r>
      <w:r w:rsidRPr="007F26FB">
        <w:rPr>
          <w:rFonts w:cs="Arial"/>
        </w:rPr>
        <w:t xml:space="preserve">reach of Criminal Behaviour Order </w:t>
      </w:r>
    </w:p>
    <w:p w:rsidR="00325A85" w:rsidRPr="007F26FB" w:rsidRDefault="00325A85" w:rsidP="00B1245C">
      <w:pPr>
        <w:rPr>
          <w:rFonts w:cs="Arial"/>
        </w:rPr>
      </w:pPr>
    </w:p>
    <w:p w:rsidR="00325A85" w:rsidRPr="007F26FB" w:rsidRDefault="00325A85" w:rsidP="00B1245C">
      <w:pPr>
        <w:rPr>
          <w:rFonts w:cs="Arial"/>
        </w:rPr>
      </w:pPr>
      <w:r w:rsidRPr="00B1245C">
        <w:rPr>
          <w:rFonts w:cs="Arial"/>
          <w:b/>
        </w:rPr>
        <w:t>Condition 4</w:t>
      </w:r>
      <w:r>
        <w:rPr>
          <w:rFonts w:cs="Arial"/>
        </w:rPr>
        <w:t xml:space="preserve"> – W</w:t>
      </w:r>
      <w:r w:rsidRPr="007F26FB">
        <w:rPr>
          <w:rFonts w:cs="Arial"/>
        </w:rPr>
        <w:t xml:space="preserve">here the premises are the subject to a closure order and </w:t>
      </w:r>
      <w:r>
        <w:rPr>
          <w:rFonts w:cs="Arial"/>
        </w:rPr>
        <w:t>h</w:t>
      </w:r>
      <w:r w:rsidRPr="007F26FB">
        <w:rPr>
          <w:rFonts w:cs="Arial"/>
        </w:rPr>
        <w:t xml:space="preserve">as been closed for more than 48 hours </w:t>
      </w:r>
    </w:p>
    <w:p w:rsidR="00325A85" w:rsidRPr="007F26FB" w:rsidRDefault="00325A85" w:rsidP="00B1245C">
      <w:pPr>
        <w:rPr>
          <w:rFonts w:cs="Arial"/>
        </w:rPr>
      </w:pPr>
    </w:p>
    <w:p w:rsidR="00325A85" w:rsidRDefault="00325A85" w:rsidP="00B1245C">
      <w:r w:rsidRPr="00B1245C">
        <w:rPr>
          <w:b/>
        </w:rPr>
        <w:t>Condition 5</w:t>
      </w:r>
      <w:r>
        <w:t xml:space="preserve"> </w:t>
      </w:r>
      <w:r w:rsidRPr="007F26FB">
        <w:t>- Conviction of tenant, member of their household or a visitor to the property for breach of a noise abatement notice under the statutory nuisance regime</w:t>
      </w:r>
    </w:p>
    <w:p w:rsidR="00325A85" w:rsidRDefault="00325A85" w:rsidP="00325A85">
      <w:pPr>
        <w:pStyle w:val="Default"/>
      </w:pPr>
    </w:p>
    <w:p w:rsidR="00325A85" w:rsidRDefault="00325A85" w:rsidP="00325A85">
      <w:pPr>
        <w:pStyle w:val="Default"/>
      </w:pPr>
    </w:p>
    <w:p w:rsidR="00325A85" w:rsidRDefault="00325A85" w:rsidP="00B1245C">
      <w:pPr>
        <w:pStyle w:val="Heading2"/>
      </w:pPr>
      <w:bookmarkStart w:id="24" w:name="_Toc95119924"/>
      <w:r>
        <w:t>8</w:t>
      </w:r>
      <w:r w:rsidR="00BE2EA1">
        <w:t>. The community trigger (ASB case r</w:t>
      </w:r>
      <w:r w:rsidRPr="001A45BD">
        <w:t>eview)</w:t>
      </w:r>
      <w:bookmarkEnd w:id="24"/>
    </w:p>
    <w:p w:rsidR="00325A85" w:rsidRDefault="00325A85" w:rsidP="00325A85">
      <w:pPr>
        <w:autoSpaceDE w:val="0"/>
        <w:autoSpaceDN w:val="0"/>
        <w:adjustRightInd w:val="0"/>
        <w:rPr>
          <w:rFonts w:cs="Arial"/>
          <w:b/>
          <w:u w:val="single"/>
        </w:rPr>
      </w:pPr>
    </w:p>
    <w:p w:rsidR="00325A85" w:rsidRPr="00171BA3" w:rsidRDefault="00325A85" w:rsidP="00B1245C">
      <w:r w:rsidRPr="00B2355A">
        <w:t xml:space="preserve">If a victim or complainant is unsatisfied with the response of an ASB complaint, a Community Trigger (ASB case review) can be raised. Please refer to the ‘Leicester, Leicestershire and Rutland </w:t>
      </w:r>
      <w:r w:rsidR="00B2355A" w:rsidRPr="00B2355A">
        <w:t>Anti-Social</w:t>
      </w:r>
      <w:r w:rsidRPr="00B2355A">
        <w:t xml:space="preserve"> Behaviour Case Review-‘Community Trigger’ Policy October 2021’</w:t>
      </w:r>
      <w:r w:rsidRPr="00171BA3">
        <w:t>.</w:t>
      </w:r>
    </w:p>
    <w:p w:rsidR="00325A85" w:rsidRPr="00A9120B" w:rsidRDefault="00325A85" w:rsidP="00325A85">
      <w:pPr>
        <w:autoSpaceDE w:val="0"/>
        <w:autoSpaceDN w:val="0"/>
        <w:adjustRightInd w:val="0"/>
        <w:rPr>
          <w:rFonts w:cs="Arial"/>
          <w:b/>
        </w:rPr>
      </w:pPr>
    </w:p>
    <w:p w:rsidR="00325A85" w:rsidRDefault="00325A85" w:rsidP="00325A85">
      <w:pPr>
        <w:pStyle w:val="Default"/>
        <w:rPr>
          <w:b/>
          <w:color w:val="auto"/>
          <w:szCs w:val="23"/>
        </w:rPr>
      </w:pPr>
    </w:p>
    <w:p w:rsidR="00325A85" w:rsidRPr="001A45BD" w:rsidRDefault="00325A85" w:rsidP="00B1245C">
      <w:pPr>
        <w:pStyle w:val="Heading2"/>
      </w:pPr>
      <w:bookmarkStart w:id="25" w:name="_Toc95119925"/>
      <w:r>
        <w:t>9</w:t>
      </w:r>
      <w:r w:rsidR="00BE2EA1">
        <w:t>. Customer s</w:t>
      </w:r>
      <w:r w:rsidRPr="001A45BD">
        <w:t>atisfaction</w:t>
      </w:r>
      <w:bookmarkEnd w:id="25"/>
    </w:p>
    <w:p w:rsidR="00325A85" w:rsidRPr="009C5360" w:rsidRDefault="00325A85" w:rsidP="00325A85">
      <w:pPr>
        <w:pStyle w:val="Default"/>
        <w:rPr>
          <w:color w:val="auto"/>
          <w:szCs w:val="23"/>
        </w:rPr>
      </w:pPr>
    </w:p>
    <w:p w:rsidR="00325A85" w:rsidRPr="003539F1" w:rsidRDefault="00E54699" w:rsidP="00B2355A">
      <w:r>
        <w:t xml:space="preserve">Hinckley &amp; </w:t>
      </w:r>
      <w:r w:rsidR="00325A85" w:rsidRPr="009C5360">
        <w:t>Bosworth Borough Council is committed to providing an effective service to our customers. As such, all of our customers have the opportunity to feedback on the service they received from us. The information gained forms part of our continuous service improvement.</w:t>
      </w:r>
    </w:p>
    <w:p w:rsidR="00325A85" w:rsidRPr="003539F1" w:rsidRDefault="00325A85" w:rsidP="00325A85">
      <w:pPr>
        <w:pStyle w:val="Default"/>
        <w:jc w:val="both"/>
        <w:rPr>
          <w:b/>
          <w:szCs w:val="23"/>
        </w:rPr>
      </w:pPr>
    </w:p>
    <w:p w:rsidR="00325A85" w:rsidRPr="00C6164A" w:rsidRDefault="00325A85" w:rsidP="003B6CA5"/>
    <w:p w:rsidR="00325A85" w:rsidRPr="00B2355A" w:rsidRDefault="00325A85" w:rsidP="00B2355A">
      <w:pPr>
        <w:pStyle w:val="Heading2"/>
      </w:pPr>
      <w:bookmarkStart w:id="26" w:name="_Toc95119926"/>
      <w:r w:rsidRPr="00B2355A">
        <w:t>10.  Suppor</w:t>
      </w:r>
      <w:r w:rsidR="00BE2EA1">
        <w:t>t for victims and witnesses of a</w:t>
      </w:r>
      <w:r w:rsidRPr="00B2355A">
        <w:t>nti-</w:t>
      </w:r>
      <w:r w:rsidR="00BE2EA1">
        <w:t>s</w:t>
      </w:r>
      <w:r w:rsidRPr="00B2355A">
        <w:t xml:space="preserve">ocial </w:t>
      </w:r>
      <w:r w:rsidR="00BE2EA1">
        <w:t>b</w:t>
      </w:r>
      <w:r w:rsidRPr="00B2355A">
        <w:t>ehaviour</w:t>
      </w:r>
      <w:bookmarkEnd w:id="26"/>
    </w:p>
    <w:p w:rsidR="00325A85" w:rsidRPr="00C6164A" w:rsidRDefault="00325A85" w:rsidP="00325A85">
      <w:pPr>
        <w:pStyle w:val="Default"/>
        <w:rPr>
          <w:b/>
          <w:szCs w:val="23"/>
        </w:rPr>
      </w:pPr>
    </w:p>
    <w:p w:rsidR="00325A85" w:rsidRPr="00C6164A" w:rsidRDefault="00325A85" w:rsidP="00B2355A">
      <w:r w:rsidRPr="00C6164A">
        <w:t>We recognise that being a witness or victim of anti-social can be hugely upsetting and distressing. As such, anybody reporting a</w:t>
      </w:r>
      <w:r>
        <w:t xml:space="preserve"> new</w:t>
      </w:r>
      <w:r w:rsidRPr="00C6164A">
        <w:t xml:space="preserve"> complaint of anti-social behaviour can expect the following response</w:t>
      </w:r>
      <w:r>
        <w:t>:</w:t>
      </w:r>
    </w:p>
    <w:p w:rsidR="00325A85" w:rsidRPr="00C6164A" w:rsidRDefault="00325A85" w:rsidP="00B2355A"/>
    <w:p w:rsidR="00325A85" w:rsidRPr="00B2355A" w:rsidRDefault="00325A85" w:rsidP="00B2355A">
      <w:pPr>
        <w:pStyle w:val="ListParagraph"/>
        <w:numPr>
          <w:ilvl w:val="0"/>
          <w:numId w:val="10"/>
        </w:numPr>
        <w:rPr>
          <w:rFonts w:cs="Arial"/>
          <w:color w:val="000000"/>
        </w:rPr>
      </w:pPr>
      <w:r w:rsidRPr="00B2355A">
        <w:rPr>
          <w:rFonts w:cs="Arial"/>
          <w:color w:val="000000"/>
        </w:rPr>
        <w:t>To be treated with respect</w:t>
      </w:r>
    </w:p>
    <w:p w:rsidR="00325A85" w:rsidRPr="00B2355A" w:rsidRDefault="00325A85" w:rsidP="00B2355A">
      <w:pPr>
        <w:pStyle w:val="ListParagraph"/>
        <w:numPr>
          <w:ilvl w:val="0"/>
          <w:numId w:val="10"/>
        </w:numPr>
        <w:rPr>
          <w:rFonts w:cs="Arial"/>
          <w:color w:val="000000"/>
        </w:rPr>
      </w:pPr>
      <w:r w:rsidRPr="00B2355A">
        <w:rPr>
          <w:rFonts w:cs="Arial"/>
          <w:color w:val="000000"/>
        </w:rPr>
        <w:lastRenderedPageBreak/>
        <w:t>To have a response from an officer within 3 working days (This is extended to 5 working days in busy periods)</w:t>
      </w:r>
    </w:p>
    <w:p w:rsidR="00325A85" w:rsidRPr="00B2355A" w:rsidRDefault="00325A85" w:rsidP="00B2355A">
      <w:pPr>
        <w:pStyle w:val="ListParagraph"/>
        <w:numPr>
          <w:ilvl w:val="0"/>
          <w:numId w:val="10"/>
        </w:numPr>
        <w:rPr>
          <w:rFonts w:cs="Arial"/>
          <w:color w:val="000000"/>
        </w:rPr>
      </w:pPr>
      <w:r w:rsidRPr="00B2355A">
        <w:rPr>
          <w:rFonts w:cs="Arial"/>
          <w:color w:val="000000"/>
        </w:rPr>
        <w:t>To have regular updates regarding their case</w:t>
      </w:r>
    </w:p>
    <w:p w:rsidR="00325A85" w:rsidRPr="00B2355A" w:rsidRDefault="00325A85" w:rsidP="00B2355A">
      <w:pPr>
        <w:pStyle w:val="ListParagraph"/>
        <w:numPr>
          <w:ilvl w:val="0"/>
          <w:numId w:val="10"/>
        </w:numPr>
        <w:rPr>
          <w:rFonts w:cs="Arial"/>
          <w:color w:val="000000"/>
        </w:rPr>
      </w:pPr>
      <w:r w:rsidRPr="00B2355A">
        <w:rPr>
          <w:rFonts w:cs="Arial"/>
          <w:color w:val="000000"/>
        </w:rPr>
        <w:t>To keep their complaint confidential if they chose</w:t>
      </w:r>
    </w:p>
    <w:p w:rsidR="00325A85" w:rsidRPr="00B2355A" w:rsidRDefault="00325A85" w:rsidP="00B2355A">
      <w:pPr>
        <w:pStyle w:val="ListParagraph"/>
        <w:numPr>
          <w:ilvl w:val="0"/>
          <w:numId w:val="10"/>
        </w:numPr>
        <w:rPr>
          <w:rFonts w:cs="Arial"/>
          <w:color w:val="000000"/>
        </w:rPr>
      </w:pPr>
      <w:r w:rsidRPr="00B2355A">
        <w:rPr>
          <w:rFonts w:cs="Arial"/>
          <w:color w:val="000000"/>
        </w:rPr>
        <w:t>To be informed about the way their complaint is dealt with</w:t>
      </w:r>
    </w:p>
    <w:p w:rsidR="00325A85" w:rsidRPr="00B2355A" w:rsidRDefault="00325A85" w:rsidP="00B2355A">
      <w:pPr>
        <w:pStyle w:val="ListParagraph"/>
        <w:numPr>
          <w:ilvl w:val="0"/>
          <w:numId w:val="10"/>
        </w:numPr>
        <w:rPr>
          <w:rFonts w:cs="Arial"/>
          <w:color w:val="000000"/>
        </w:rPr>
      </w:pPr>
      <w:r w:rsidRPr="00B2355A">
        <w:rPr>
          <w:rFonts w:cs="Arial"/>
          <w:color w:val="000000"/>
        </w:rPr>
        <w:t>To have access to other victim and witness support services</w:t>
      </w:r>
    </w:p>
    <w:p w:rsidR="00325A85" w:rsidRPr="00C6164A" w:rsidRDefault="00325A85" w:rsidP="00325A85">
      <w:pPr>
        <w:autoSpaceDE w:val="0"/>
        <w:autoSpaceDN w:val="0"/>
        <w:adjustRightInd w:val="0"/>
        <w:rPr>
          <w:rFonts w:cs="Arial"/>
          <w:color w:val="000000"/>
        </w:rPr>
      </w:pPr>
    </w:p>
    <w:p w:rsidR="00325A85" w:rsidRPr="00C6164A" w:rsidRDefault="00325A85" w:rsidP="00325A85">
      <w:pPr>
        <w:pStyle w:val="Default"/>
        <w:rPr>
          <w:b/>
          <w:szCs w:val="23"/>
        </w:rPr>
      </w:pPr>
    </w:p>
    <w:p w:rsidR="00325A85" w:rsidRPr="001A45BD" w:rsidRDefault="00325A85" w:rsidP="00B2355A">
      <w:pPr>
        <w:pStyle w:val="Heading2"/>
      </w:pPr>
      <w:bookmarkStart w:id="27" w:name="_Toc95119927"/>
      <w:r w:rsidRPr="001A45BD">
        <w:t>1</w:t>
      </w:r>
      <w:r>
        <w:t>1</w:t>
      </w:r>
      <w:r w:rsidRPr="001A45BD">
        <w:t>. Suppo</w:t>
      </w:r>
      <w:r w:rsidR="00BE2EA1">
        <w:t>rt for our tenants- Management m</w:t>
      </w:r>
      <w:r w:rsidRPr="001A45BD">
        <w:t>oves</w:t>
      </w:r>
      <w:bookmarkEnd w:id="27"/>
    </w:p>
    <w:p w:rsidR="00325A85" w:rsidRPr="003539F1" w:rsidRDefault="00325A85" w:rsidP="00325A85">
      <w:pPr>
        <w:pStyle w:val="Default"/>
        <w:rPr>
          <w:b/>
        </w:rPr>
      </w:pPr>
    </w:p>
    <w:p w:rsidR="00325A85" w:rsidRPr="00C6164A" w:rsidRDefault="00325A85" w:rsidP="00B2355A">
      <w:r w:rsidRPr="00C6164A">
        <w:t>In some circumstance</w:t>
      </w:r>
      <w:r>
        <w:t>s a managed move for a victim or</w:t>
      </w:r>
      <w:r w:rsidRPr="00C6164A">
        <w:t xml:space="preserve"> witness of anti-social behaviour may be considered. The decision on whether or not to move a tenant will be</w:t>
      </w:r>
      <w:r>
        <w:t xml:space="preserve"> taken on a case by case basis and will be determined by the ASB and Tenancy Manager or the Head of Housing, in accordance with the Allocations Policy.</w:t>
      </w:r>
    </w:p>
    <w:p w:rsidR="00325A85" w:rsidRPr="00C6164A" w:rsidRDefault="00325A85" w:rsidP="00325A85">
      <w:pPr>
        <w:pStyle w:val="Default"/>
      </w:pPr>
    </w:p>
    <w:p w:rsidR="00325A85" w:rsidRPr="001A45BD" w:rsidRDefault="00325A85" w:rsidP="00B2355A">
      <w:pPr>
        <w:pStyle w:val="Heading2"/>
      </w:pPr>
      <w:bookmarkStart w:id="28" w:name="_Toc95119928"/>
      <w:r w:rsidRPr="001A45BD">
        <w:t>1</w:t>
      </w:r>
      <w:r>
        <w:t>2</w:t>
      </w:r>
      <w:r w:rsidRPr="001A45BD">
        <w:t xml:space="preserve">. Support for vulnerable people causing </w:t>
      </w:r>
      <w:r w:rsidR="00BE2EA1">
        <w:t>a</w:t>
      </w:r>
      <w:r w:rsidRPr="001A45BD">
        <w:t>nti-</w:t>
      </w:r>
      <w:r w:rsidR="00BE2EA1">
        <w:t>s</w:t>
      </w:r>
      <w:r w:rsidRPr="001A45BD">
        <w:t xml:space="preserve">ocial </w:t>
      </w:r>
      <w:r w:rsidR="00BE2EA1">
        <w:t>b</w:t>
      </w:r>
      <w:r w:rsidRPr="001A45BD">
        <w:t>ehaviour</w:t>
      </w:r>
      <w:bookmarkEnd w:id="28"/>
      <w:r w:rsidRPr="001A45BD">
        <w:t xml:space="preserve"> </w:t>
      </w:r>
    </w:p>
    <w:p w:rsidR="00325A85" w:rsidRDefault="00325A85" w:rsidP="00325A85">
      <w:pPr>
        <w:pStyle w:val="Default"/>
        <w:rPr>
          <w:b/>
          <w:bCs/>
        </w:rPr>
      </w:pPr>
    </w:p>
    <w:p w:rsidR="00325A85" w:rsidRDefault="00325A85" w:rsidP="00B2355A">
      <w:r>
        <w:t>We recognise</w:t>
      </w:r>
      <w:r w:rsidRPr="00C6164A">
        <w:t xml:space="preserve"> the need to support residents who</w:t>
      </w:r>
      <w:r>
        <w:t>,</w:t>
      </w:r>
      <w:r w:rsidRPr="00C6164A">
        <w:t xml:space="preserve"> from time to time</w:t>
      </w:r>
      <w:r>
        <w:t>,</w:t>
      </w:r>
      <w:r w:rsidRPr="00C6164A">
        <w:t xml:space="preserve"> have difficulty in managing their tenancy because of mental health concerns, learning disabilities, physical disabilities</w:t>
      </w:r>
      <w:r>
        <w:t>, substance misuse or other factors</w:t>
      </w:r>
      <w:r w:rsidRPr="00C6164A">
        <w:t>. Through the Endeavour Team</w:t>
      </w:r>
      <w:r>
        <w:t>,</w:t>
      </w:r>
      <w:r w:rsidRPr="00C6164A">
        <w:t xml:space="preserve"> </w:t>
      </w:r>
      <w:r w:rsidR="00E54699">
        <w:t xml:space="preserve">Hinckley &amp; </w:t>
      </w:r>
      <w:r w:rsidRPr="00C6164A">
        <w:t>Bosworth Borough Council works in partnership to ensure that vulnerable members of our communities</w:t>
      </w:r>
      <w:r>
        <w:t xml:space="preserve"> receive support tailored to their individual needs.</w:t>
      </w:r>
      <w:r w:rsidRPr="00C6164A">
        <w:t xml:space="preserve"> </w:t>
      </w:r>
    </w:p>
    <w:p w:rsidR="00325A85" w:rsidRPr="00630AE7" w:rsidRDefault="00325A85" w:rsidP="00B2355A"/>
    <w:p w:rsidR="00325A85" w:rsidRDefault="00325A85" w:rsidP="00B2355A">
      <w:r w:rsidRPr="00630AE7">
        <w:t xml:space="preserve">Investigating Officers will make referrals to other council departments or </w:t>
      </w:r>
      <w:r>
        <w:t xml:space="preserve">external </w:t>
      </w:r>
      <w:r w:rsidRPr="00630AE7">
        <w:t>agencies as appropriate in the course of their investigation. Any referrals made will involve the Investigating Officer seeking consent from the individual concerned, unless there is an overriding safeguarding concern in relation to a vulnerable adult or child.</w:t>
      </w:r>
    </w:p>
    <w:p w:rsidR="00325A85" w:rsidRDefault="00325A85" w:rsidP="00325A85">
      <w:pPr>
        <w:pStyle w:val="Default"/>
        <w:ind w:left="360"/>
      </w:pPr>
    </w:p>
    <w:p w:rsidR="00325A85" w:rsidRDefault="00325A85" w:rsidP="00325A85">
      <w:pPr>
        <w:pStyle w:val="Default"/>
        <w:ind w:left="360"/>
      </w:pPr>
    </w:p>
    <w:p w:rsidR="00325A85" w:rsidRPr="001A45BD" w:rsidRDefault="00325A85" w:rsidP="00B2355A">
      <w:pPr>
        <w:pStyle w:val="Heading2"/>
      </w:pPr>
      <w:bookmarkStart w:id="29" w:name="_Toc95119929"/>
      <w:r w:rsidRPr="001A45BD">
        <w:t>1</w:t>
      </w:r>
      <w:r>
        <w:t>3</w:t>
      </w:r>
      <w:r w:rsidRPr="001A45BD">
        <w:t>.  Education</w:t>
      </w:r>
      <w:bookmarkEnd w:id="29"/>
    </w:p>
    <w:p w:rsidR="00325A85" w:rsidRPr="00C6164A" w:rsidRDefault="00325A85" w:rsidP="00325A85">
      <w:pPr>
        <w:pStyle w:val="Default"/>
        <w:rPr>
          <w:szCs w:val="23"/>
        </w:rPr>
      </w:pPr>
    </w:p>
    <w:p w:rsidR="00325A85" w:rsidRPr="00C6164A" w:rsidRDefault="00325A85" w:rsidP="00B2355A">
      <w:r>
        <w:t>We believe that e</w:t>
      </w:r>
      <w:r w:rsidRPr="00C6164A">
        <w:t>ducation is key to preventing and reducing an</w:t>
      </w:r>
      <w:r>
        <w:t>ti-social behaviour across our B</w:t>
      </w:r>
      <w:r w:rsidRPr="00C6164A">
        <w:t>orough. As such, the Endeavour team has established good links with all school providers to ensure that students receive regular information about the consequences of anti-social behaviour and the impact it can have on both the person and the community. Throughout the year, other information about what anti-social behaviour is and its consequences is disseminate</w:t>
      </w:r>
      <w:r>
        <w:t>d to neighbourhoods within our B</w:t>
      </w:r>
      <w:r w:rsidRPr="00C6164A">
        <w:t xml:space="preserve">orough. </w:t>
      </w:r>
    </w:p>
    <w:p w:rsidR="00325A85" w:rsidRPr="00630AE7" w:rsidRDefault="00325A85" w:rsidP="00325A85">
      <w:pPr>
        <w:pStyle w:val="Default"/>
        <w:jc w:val="both"/>
      </w:pPr>
    </w:p>
    <w:p w:rsidR="00325A85" w:rsidRDefault="00325A85" w:rsidP="00325A85">
      <w:pPr>
        <w:pStyle w:val="Default"/>
        <w:rPr>
          <w:szCs w:val="23"/>
        </w:rPr>
      </w:pPr>
    </w:p>
    <w:p w:rsidR="00325A85" w:rsidRPr="001A45BD" w:rsidRDefault="00325A85" w:rsidP="00B2355A">
      <w:pPr>
        <w:pStyle w:val="Heading2"/>
      </w:pPr>
      <w:bookmarkStart w:id="30" w:name="_Toc95119930"/>
      <w:r w:rsidRPr="001A45BD">
        <w:t>1</w:t>
      </w:r>
      <w:r>
        <w:t>4</w:t>
      </w:r>
      <w:r w:rsidRPr="001A45BD">
        <w:t xml:space="preserve">. Equality </w:t>
      </w:r>
      <w:r>
        <w:t>a</w:t>
      </w:r>
      <w:r w:rsidRPr="001A45BD">
        <w:t xml:space="preserve">nd </w:t>
      </w:r>
      <w:r w:rsidR="00BE2EA1">
        <w:t>diversity c</w:t>
      </w:r>
      <w:bookmarkStart w:id="31" w:name="_GoBack"/>
      <w:bookmarkEnd w:id="31"/>
      <w:r w:rsidRPr="001A45BD">
        <w:t>ommitment</w:t>
      </w:r>
      <w:bookmarkEnd w:id="30"/>
      <w:r w:rsidRPr="001A45BD">
        <w:t xml:space="preserve"> </w:t>
      </w:r>
    </w:p>
    <w:p w:rsidR="00325A85" w:rsidRDefault="00325A85" w:rsidP="00325A85">
      <w:pPr>
        <w:pStyle w:val="Default"/>
        <w:rPr>
          <w:b/>
          <w:szCs w:val="23"/>
        </w:rPr>
      </w:pPr>
    </w:p>
    <w:p w:rsidR="00325A85" w:rsidRDefault="00325A85" w:rsidP="00B2355A">
      <w:r w:rsidRPr="00F26065">
        <w:t xml:space="preserve">The Equality Duty (Equality Act 2010) ensures that public bodies consider the needs of all individuals in their day to day work and functions. It is expected that each of the partners within the </w:t>
      </w:r>
      <w:r>
        <w:t>Endeavour Team</w:t>
      </w:r>
      <w:r w:rsidRPr="00F26065">
        <w:t xml:space="preserve"> are committed to </w:t>
      </w:r>
      <w:r w:rsidRPr="00F26065">
        <w:lastRenderedPageBreak/>
        <w:t>ensuring fairness and accessibility for all and that they take the following general public duties very seriously:</w:t>
      </w:r>
    </w:p>
    <w:p w:rsidR="00B2355A" w:rsidRPr="00F26065" w:rsidRDefault="00B2355A" w:rsidP="00B2355A"/>
    <w:p w:rsidR="00325A85" w:rsidRPr="00F26065" w:rsidRDefault="00325A85" w:rsidP="00B2355A">
      <w:pPr>
        <w:pStyle w:val="ListParagraph"/>
        <w:numPr>
          <w:ilvl w:val="0"/>
          <w:numId w:val="11"/>
        </w:numPr>
      </w:pPr>
      <w:r w:rsidRPr="00F26065">
        <w:t>Eliminate discrimination, harassment, victimisation and other conduct that is unlawful under the Act</w:t>
      </w:r>
    </w:p>
    <w:p w:rsidR="00325A85" w:rsidRPr="00F26065" w:rsidRDefault="00325A85" w:rsidP="00B2355A">
      <w:pPr>
        <w:pStyle w:val="ListParagraph"/>
        <w:numPr>
          <w:ilvl w:val="0"/>
          <w:numId w:val="11"/>
        </w:numPr>
      </w:pPr>
      <w:r w:rsidRPr="00F26065">
        <w:t>Advance equality of opportunity between people who share a protected characteristic (see below) and those who do not</w:t>
      </w:r>
    </w:p>
    <w:p w:rsidR="00325A85" w:rsidRDefault="00325A85" w:rsidP="00B2355A">
      <w:pPr>
        <w:pStyle w:val="ListParagraph"/>
        <w:numPr>
          <w:ilvl w:val="0"/>
          <w:numId w:val="11"/>
        </w:numPr>
      </w:pPr>
      <w:r w:rsidRPr="00F26065">
        <w:t>Foster good relations between persons who share a protected characteristic and those who do not</w:t>
      </w:r>
    </w:p>
    <w:p w:rsidR="00B2355A" w:rsidRPr="00F26065" w:rsidRDefault="00B2355A" w:rsidP="00B2355A">
      <w:pPr>
        <w:pStyle w:val="ListParagraph"/>
      </w:pPr>
    </w:p>
    <w:p w:rsidR="00B2355A" w:rsidRDefault="00325A85" w:rsidP="00B2355A">
      <w:r w:rsidRPr="00F26065">
        <w:t xml:space="preserve">It is expected that all partners pay due regard to the nine protected characteristics: </w:t>
      </w:r>
    </w:p>
    <w:p w:rsidR="00B2355A" w:rsidRDefault="00B2355A" w:rsidP="00B2355A">
      <w:pPr>
        <w:pStyle w:val="ListParagraph"/>
        <w:numPr>
          <w:ilvl w:val="0"/>
          <w:numId w:val="12"/>
        </w:numPr>
      </w:pPr>
      <w:r>
        <w:t>Age</w:t>
      </w:r>
    </w:p>
    <w:p w:rsidR="00B2355A" w:rsidRDefault="00B2355A" w:rsidP="00B2355A">
      <w:pPr>
        <w:pStyle w:val="ListParagraph"/>
        <w:numPr>
          <w:ilvl w:val="0"/>
          <w:numId w:val="12"/>
        </w:numPr>
      </w:pPr>
      <w:r>
        <w:t>Gender</w:t>
      </w:r>
    </w:p>
    <w:p w:rsidR="00B2355A" w:rsidRDefault="00B2355A" w:rsidP="00B2355A">
      <w:pPr>
        <w:pStyle w:val="ListParagraph"/>
        <w:numPr>
          <w:ilvl w:val="0"/>
          <w:numId w:val="12"/>
        </w:numPr>
      </w:pPr>
      <w:r>
        <w:t>Gender re-assignment</w:t>
      </w:r>
    </w:p>
    <w:p w:rsidR="00B2355A" w:rsidRDefault="00325A85" w:rsidP="00B2355A">
      <w:pPr>
        <w:pStyle w:val="ListParagraph"/>
        <w:numPr>
          <w:ilvl w:val="0"/>
          <w:numId w:val="12"/>
        </w:numPr>
      </w:pPr>
      <w:r w:rsidRPr="00F26065">
        <w:t>Disability (including physical disability, learning disability, menta</w:t>
      </w:r>
      <w:r w:rsidR="00B2355A">
        <w:t>l health and long-term illness)</w:t>
      </w:r>
    </w:p>
    <w:p w:rsidR="00B2355A" w:rsidRDefault="00325A85" w:rsidP="00B2355A">
      <w:pPr>
        <w:pStyle w:val="ListParagraph"/>
        <w:numPr>
          <w:ilvl w:val="0"/>
          <w:numId w:val="12"/>
        </w:numPr>
      </w:pPr>
      <w:r w:rsidRPr="00F26065">
        <w:t>Ethnicity &amp; Race</w:t>
      </w:r>
    </w:p>
    <w:p w:rsidR="00B2355A" w:rsidRDefault="00325A85" w:rsidP="00B2355A">
      <w:pPr>
        <w:pStyle w:val="ListParagraph"/>
        <w:numPr>
          <w:ilvl w:val="0"/>
          <w:numId w:val="12"/>
        </w:numPr>
      </w:pPr>
      <w:r w:rsidRPr="00F26065">
        <w:t>Sexual orientation</w:t>
      </w:r>
    </w:p>
    <w:p w:rsidR="00B2355A" w:rsidRDefault="00325A85" w:rsidP="00B2355A">
      <w:pPr>
        <w:pStyle w:val="ListParagraph"/>
        <w:numPr>
          <w:ilvl w:val="0"/>
          <w:numId w:val="12"/>
        </w:numPr>
      </w:pPr>
      <w:r w:rsidRPr="00F26065">
        <w:t>Religion &amp; belief</w:t>
      </w:r>
    </w:p>
    <w:p w:rsidR="00B2355A" w:rsidRDefault="00325A85" w:rsidP="00B2355A">
      <w:pPr>
        <w:pStyle w:val="ListParagraph"/>
        <w:numPr>
          <w:ilvl w:val="0"/>
          <w:numId w:val="12"/>
        </w:numPr>
      </w:pPr>
      <w:r w:rsidRPr="00F26065">
        <w:t>Marital status &amp; civil partnership</w:t>
      </w:r>
    </w:p>
    <w:p w:rsidR="00325A85" w:rsidRPr="00F26065" w:rsidRDefault="00B2355A" w:rsidP="00B2355A">
      <w:pPr>
        <w:pStyle w:val="ListParagraph"/>
        <w:numPr>
          <w:ilvl w:val="0"/>
          <w:numId w:val="12"/>
        </w:numPr>
      </w:pPr>
      <w:r>
        <w:t>Pregnancy &amp; maternity</w:t>
      </w:r>
    </w:p>
    <w:p w:rsidR="00325A85" w:rsidRPr="00C6164A" w:rsidRDefault="00325A85" w:rsidP="00325A85">
      <w:pPr>
        <w:pStyle w:val="Default"/>
      </w:pPr>
    </w:p>
    <w:p w:rsidR="00325A85" w:rsidRDefault="00325A85"/>
    <w:sectPr w:rsidR="00325A85" w:rsidSect="00E54699">
      <w:type w:val="continuous"/>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864" w:rsidRDefault="00D13864">
      <w:r>
        <w:separator/>
      </w:r>
    </w:p>
  </w:endnote>
  <w:endnote w:type="continuationSeparator" w:id="0">
    <w:p w:rsidR="00D13864" w:rsidRDefault="00D13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kzidenz-Grotesk Std 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864" w:rsidRDefault="00D13864" w:rsidP="00E54699">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D13864" w:rsidRDefault="00D13864" w:rsidP="00E546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864" w:rsidRDefault="00D13864" w:rsidP="00E54699">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BE2EA1">
      <w:rPr>
        <w:rStyle w:val="PageNumber"/>
        <w:rFonts w:eastAsiaTheme="majorEastAsia"/>
        <w:noProof/>
      </w:rPr>
      <w:t>10</w:t>
    </w:r>
    <w:r>
      <w:rPr>
        <w:rStyle w:val="PageNumber"/>
        <w:rFonts w:eastAsiaTheme="majorEastAsia"/>
      </w:rPr>
      <w:fldChar w:fldCharType="end"/>
    </w:r>
  </w:p>
  <w:p w:rsidR="00D13864" w:rsidRDefault="00D13864" w:rsidP="00E546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864" w:rsidRDefault="00D13864">
      <w:r>
        <w:separator/>
      </w:r>
    </w:p>
  </w:footnote>
  <w:footnote w:type="continuationSeparator" w:id="0">
    <w:p w:rsidR="00D13864" w:rsidRDefault="00D13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16DC0"/>
    <w:multiLevelType w:val="hybridMultilevel"/>
    <w:tmpl w:val="35044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E44450"/>
    <w:multiLevelType w:val="hybridMultilevel"/>
    <w:tmpl w:val="DF44C3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9F4787"/>
    <w:multiLevelType w:val="hybridMultilevel"/>
    <w:tmpl w:val="9CBA1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D272A1"/>
    <w:multiLevelType w:val="hybridMultilevel"/>
    <w:tmpl w:val="B2F84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06346B"/>
    <w:multiLevelType w:val="hybridMultilevel"/>
    <w:tmpl w:val="77BA7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FB1E3F"/>
    <w:multiLevelType w:val="hybridMultilevel"/>
    <w:tmpl w:val="419C4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44715E"/>
    <w:multiLevelType w:val="hybridMultilevel"/>
    <w:tmpl w:val="FFCA7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25723F"/>
    <w:multiLevelType w:val="hybridMultilevel"/>
    <w:tmpl w:val="8E4C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1F4617"/>
    <w:multiLevelType w:val="hybridMultilevel"/>
    <w:tmpl w:val="3BD49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003720"/>
    <w:multiLevelType w:val="hybridMultilevel"/>
    <w:tmpl w:val="21E6F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C037B0"/>
    <w:multiLevelType w:val="hybridMultilevel"/>
    <w:tmpl w:val="3B6E4A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AC452E"/>
    <w:multiLevelType w:val="multilevel"/>
    <w:tmpl w:val="4BB6E57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1"/>
  </w:num>
  <w:num w:numId="2">
    <w:abstractNumId w:val="10"/>
  </w:num>
  <w:num w:numId="3">
    <w:abstractNumId w:val="1"/>
  </w:num>
  <w:num w:numId="4">
    <w:abstractNumId w:val="7"/>
  </w:num>
  <w:num w:numId="5">
    <w:abstractNumId w:val="0"/>
  </w:num>
  <w:num w:numId="6">
    <w:abstractNumId w:val="5"/>
  </w:num>
  <w:num w:numId="7">
    <w:abstractNumId w:val="6"/>
  </w:num>
  <w:num w:numId="8">
    <w:abstractNumId w:val="4"/>
  </w:num>
  <w:num w:numId="9">
    <w:abstractNumId w:val="9"/>
  </w:num>
  <w:num w:numId="10">
    <w:abstractNumId w:val="8"/>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A85"/>
    <w:rsid w:val="00140A4A"/>
    <w:rsid w:val="00177E94"/>
    <w:rsid w:val="001B4392"/>
    <w:rsid w:val="00325A85"/>
    <w:rsid w:val="003B6CA5"/>
    <w:rsid w:val="003F46B6"/>
    <w:rsid w:val="00B1245C"/>
    <w:rsid w:val="00B2355A"/>
    <w:rsid w:val="00BE2EA1"/>
    <w:rsid w:val="00D13864"/>
    <w:rsid w:val="00D227B4"/>
    <w:rsid w:val="00E54699"/>
    <w:rsid w:val="00E81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A4D0C"/>
  <w15:chartTrackingRefBased/>
  <w15:docId w15:val="{D5E51CD8-8E33-459D-851B-C39E1A8D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A85"/>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25A85"/>
    <w:pPr>
      <w:keepNext/>
      <w:keepLines/>
      <w:spacing w:before="240"/>
      <w:outlineLvl w:val="0"/>
    </w:pPr>
    <w:rPr>
      <w:rFonts w:eastAsiaTheme="majorEastAsia" w:cstheme="majorBidi"/>
      <w:color w:val="000000" w:themeColor="text1"/>
      <w:sz w:val="28"/>
      <w:szCs w:val="32"/>
    </w:rPr>
  </w:style>
  <w:style w:type="paragraph" w:styleId="Heading2">
    <w:name w:val="heading 2"/>
    <w:basedOn w:val="Normal"/>
    <w:next w:val="Normal"/>
    <w:link w:val="Heading2Char"/>
    <w:uiPriority w:val="9"/>
    <w:unhideWhenUsed/>
    <w:qFormat/>
    <w:rsid w:val="00E81E86"/>
    <w:pPr>
      <w:keepNext/>
      <w:keepLines/>
      <w:spacing w:before="4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D227B4"/>
    <w:pPr>
      <w:keepNext/>
      <w:keepLines/>
      <w:spacing w:before="40"/>
      <w:outlineLvl w:val="2"/>
    </w:pPr>
    <w:rPr>
      <w:rFonts w:eastAsiaTheme="majorEastAsia" w:cstheme="majorBidi"/>
      <w:b/>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325A85"/>
    <w:pPr>
      <w:spacing w:before="100" w:beforeAutospacing="1" w:after="100" w:afterAutospacing="1"/>
    </w:pPr>
    <w:rPr>
      <w:rFonts w:eastAsia="Calibri"/>
      <w:lang w:eastAsia="en-GB"/>
    </w:rPr>
  </w:style>
  <w:style w:type="paragraph" w:customStyle="1" w:styleId="Default">
    <w:name w:val="Default"/>
    <w:rsid w:val="00325A85"/>
    <w:pPr>
      <w:autoSpaceDE w:val="0"/>
      <w:autoSpaceDN w:val="0"/>
      <w:adjustRightInd w:val="0"/>
      <w:spacing w:after="0" w:line="240" w:lineRule="auto"/>
    </w:pPr>
    <w:rPr>
      <w:rFonts w:ascii="Arial" w:eastAsia="Times New Roman" w:hAnsi="Arial" w:cs="Arial"/>
      <w:color w:val="000000"/>
      <w:sz w:val="24"/>
      <w:szCs w:val="24"/>
    </w:rPr>
  </w:style>
  <w:style w:type="paragraph" w:styleId="Footer">
    <w:name w:val="footer"/>
    <w:basedOn w:val="Normal"/>
    <w:link w:val="FooterChar"/>
    <w:rsid w:val="00325A85"/>
    <w:pPr>
      <w:tabs>
        <w:tab w:val="center" w:pos="4153"/>
        <w:tab w:val="right" w:pos="8306"/>
      </w:tabs>
    </w:pPr>
  </w:style>
  <w:style w:type="character" w:customStyle="1" w:styleId="FooterChar">
    <w:name w:val="Footer Char"/>
    <w:basedOn w:val="DefaultParagraphFont"/>
    <w:link w:val="Footer"/>
    <w:rsid w:val="00325A85"/>
    <w:rPr>
      <w:rFonts w:ascii="Times New Roman" w:eastAsia="Times New Roman" w:hAnsi="Times New Roman" w:cs="Times New Roman"/>
      <w:sz w:val="24"/>
      <w:szCs w:val="24"/>
    </w:rPr>
  </w:style>
  <w:style w:type="character" w:styleId="PageNumber">
    <w:name w:val="page number"/>
    <w:basedOn w:val="DefaultParagraphFont"/>
    <w:rsid w:val="00325A85"/>
  </w:style>
  <w:style w:type="character" w:customStyle="1" w:styleId="Heading1Char">
    <w:name w:val="Heading 1 Char"/>
    <w:basedOn w:val="DefaultParagraphFont"/>
    <w:link w:val="Heading1"/>
    <w:uiPriority w:val="9"/>
    <w:rsid w:val="00325A85"/>
    <w:rPr>
      <w:rFonts w:ascii="Arial" w:eastAsiaTheme="majorEastAsia" w:hAnsi="Arial" w:cstheme="majorBidi"/>
      <w:color w:val="000000" w:themeColor="text1"/>
      <w:sz w:val="28"/>
      <w:szCs w:val="32"/>
    </w:rPr>
  </w:style>
  <w:style w:type="character" w:customStyle="1" w:styleId="Heading2Char">
    <w:name w:val="Heading 2 Char"/>
    <w:basedOn w:val="DefaultParagraphFont"/>
    <w:link w:val="Heading2"/>
    <w:uiPriority w:val="9"/>
    <w:rsid w:val="00E81E86"/>
    <w:rPr>
      <w:rFonts w:ascii="Arial" w:eastAsiaTheme="majorEastAsia" w:hAnsi="Arial" w:cstheme="majorBidi"/>
      <w:b/>
      <w:color w:val="000000" w:themeColor="text1"/>
      <w:sz w:val="24"/>
      <w:szCs w:val="26"/>
    </w:rPr>
  </w:style>
  <w:style w:type="paragraph" w:styleId="ListParagraph">
    <w:name w:val="List Paragraph"/>
    <w:basedOn w:val="Normal"/>
    <w:uiPriority w:val="34"/>
    <w:qFormat/>
    <w:rsid w:val="00E81E86"/>
    <w:pPr>
      <w:ind w:left="720"/>
      <w:contextualSpacing/>
    </w:pPr>
  </w:style>
  <w:style w:type="character" w:customStyle="1" w:styleId="Heading3Char">
    <w:name w:val="Heading 3 Char"/>
    <w:basedOn w:val="DefaultParagraphFont"/>
    <w:link w:val="Heading3"/>
    <w:uiPriority w:val="9"/>
    <w:rsid w:val="00D227B4"/>
    <w:rPr>
      <w:rFonts w:ascii="Arial" w:eastAsiaTheme="majorEastAsia" w:hAnsi="Arial" w:cstheme="majorBidi"/>
      <w:b/>
      <w:color w:val="000000" w:themeColor="text1"/>
      <w:szCs w:val="24"/>
    </w:rPr>
  </w:style>
  <w:style w:type="paragraph" w:styleId="TOCHeading">
    <w:name w:val="TOC Heading"/>
    <w:basedOn w:val="Heading1"/>
    <w:next w:val="Normal"/>
    <w:uiPriority w:val="39"/>
    <w:unhideWhenUsed/>
    <w:qFormat/>
    <w:rsid w:val="00E54699"/>
    <w:pPr>
      <w:spacing w:line="259" w:lineRule="auto"/>
      <w:outlineLvl w:val="9"/>
    </w:pPr>
    <w:rPr>
      <w:rFonts w:asciiTheme="majorHAnsi" w:hAnsiTheme="majorHAnsi"/>
      <w:color w:val="2E74B5" w:themeColor="accent1" w:themeShade="BF"/>
      <w:sz w:val="32"/>
      <w:lang w:val="en-US"/>
    </w:rPr>
  </w:style>
  <w:style w:type="paragraph" w:styleId="TOC1">
    <w:name w:val="toc 1"/>
    <w:basedOn w:val="Normal"/>
    <w:next w:val="Normal"/>
    <w:autoRedefine/>
    <w:uiPriority w:val="39"/>
    <w:unhideWhenUsed/>
    <w:rsid w:val="00E54699"/>
    <w:pPr>
      <w:spacing w:after="100"/>
    </w:pPr>
  </w:style>
  <w:style w:type="paragraph" w:styleId="TOC2">
    <w:name w:val="toc 2"/>
    <w:basedOn w:val="Normal"/>
    <w:next w:val="Normal"/>
    <w:autoRedefine/>
    <w:uiPriority w:val="39"/>
    <w:unhideWhenUsed/>
    <w:rsid w:val="00E54699"/>
    <w:pPr>
      <w:spacing w:after="100"/>
      <w:ind w:left="240"/>
    </w:pPr>
  </w:style>
  <w:style w:type="paragraph" w:styleId="TOC3">
    <w:name w:val="toc 3"/>
    <w:basedOn w:val="Normal"/>
    <w:next w:val="Normal"/>
    <w:autoRedefine/>
    <w:uiPriority w:val="39"/>
    <w:unhideWhenUsed/>
    <w:rsid w:val="00E54699"/>
    <w:pPr>
      <w:spacing w:after="100"/>
      <w:ind w:left="480"/>
    </w:pPr>
  </w:style>
  <w:style w:type="character" w:styleId="Hyperlink">
    <w:name w:val="Hyperlink"/>
    <w:basedOn w:val="DefaultParagraphFont"/>
    <w:uiPriority w:val="99"/>
    <w:unhideWhenUsed/>
    <w:rsid w:val="00E54699"/>
    <w:rPr>
      <w:color w:val="0563C1" w:themeColor="hyperlink"/>
      <w:u w:val="single"/>
    </w:rPr>
  </w:style>
  <w:style w:type="paragraph" w:styleId="Header">
    <w:name w:val="header"/>
    <w:basedOn w:val="Normal"/>
    <w:link w:val="HeaderChar"/>
    <w:uiPriority w:val="99"/>
    <w:unhideWhenUsed/>
    <w:rsid w:val="00D13864"/>
    <w:pPr>
      <w:tabs>
        <w:tab w:val="center" w:pos="4513"/>
        <w:tab w:val="right" w:pos="9026"/>
      </w:tabs>
    </w:pPr>
  </w:style>
  <w:style w:type="character" w:customStyle="1" w:styleId="HeaderChar">
    <w:name w:val="Header Char"/>
    <w:basedOn w:val="DefaultParagraphFont"/>
    <w:link w:val="Header"/>
    <w:uiPriority w:val="99"/>
    <w:rsid w:val="00D13864"/>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branding/Printlogo/HBBC%20col%20logo.jp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14466-5BD0-4762-BB43-E0DA54F72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2739</Words>
  <Characters>15615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Anti-social behaviour policy Feb 2022</vt:lpstr>
    </vt:vector>
  </TitlesOfParts>
  <Company/>
  <LinksUpToDate>false</LinksUpToDate>
  <CharactersWithSpaces>18318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Anti-social behaviour policy Feb 2022</dc:title>
  <dc:subject/>
  <dc:creator>Hinckley &amp; Bosworth Borough Council</dc:creator>
  <cp:keywords>ASB, anti-social, council</cp:keywords>
  <dc:description/>
  <cp:lastModifiedBy>Asmita Chandarana</cp:lastModifiedBy>
  <cp:revision>5</cp:revision>
  <dcterms:created xsi:type="dcterms:W3CDTF">2022-02-03T11:56:00Z</dcterms:created>
  <dcterms:modified xsi:type="dcterms:W3CDTF">2022-02-07T09:54:00Z</dcterms:modified>
</cp:coreProperties>
</file>